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3C8D3" w14:textId="77777777" w:rsidR="00DB5ACC" w:rsidRDefault="00DB5ACC" w:rsidP="00DB5ACC">
      <w:pPr>
        <w:jc w:val="center"/>
      </w:pPr>
      <w:r>
        <w:rPr>
          <w:b/>
        </w:rPr>
        <w:t>TERMS OF REFERENCE FOR INDIVIDUAL CONSULTANT</w:t>
      </w:r>
    </w:p>
    <w:p w14:paraId="6BEC39D1" w14:textId="7B91FA9F" w:rsidR="00DB5ACC" w:rsidRPr="009021C8" w:rsidRDefault="00D27D37" w:rsidP="00D27D37">
      <w:pPr>
        <w:tabs>
          <w:tab w:val="left" w:pos="1180"/>
        </w:tabs>
        <w:jc w:val="center"/>
        <w:rPr>
          <w:lang w:val="fr-CA"/>
        </w:rPr>
      </w:pPr>
      <w:r w:rsidRPr="00D27D37">
        <w:rPr>
          <w:b/>
          <w:lang w:val="fr-CA"/>
        </w:rPr>
        <w:t>Renforcement de capacité des acteurs sur les techniques de rassemblement et de conservation de preuves médico-légales et électroniques</w:t>
      </w:r>
      <w:r>
        <w:rPr>
          <w:lang w:val="fr-CA"/>
        </w:rPr>
        <w:t>.</w:t>
      </w:r>
    </w:p>
    <w:tbl>
      <w:tblPr>
        <w:tblW w:w="10440" w:type="dxa"/>
        <w:tblInd w:w="-303" w:type="dxa"/>
        <w:tblLayout w:type="fixed"/>
        <w:tblLook w:val="0000" w:firstRow="0" w:lastRow="0" w:firstColumn="0" w:lastColumn="0" w:noHBand="0" w:noVBand="0"/>
      </w:tblPr>
      <w:tblGrid>
        <w:gridCol w:w="2730"/>
        <w:gridCol w:w="7710"/>
      </w:tblGrid>
      <w:tr w:rsidR="00DB5ACC" w14:paraId="3330E4D9" w14:textId="77777777" w:rsidTr="0059196A">
        <w:trPr>
          <w:trHeight w:val="200"/>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E6E6E6"/>
          </w:tcPr>
          <w:p w14:paraId="6072E7BB" w14:textId="77777777" w:rsidR="00DB5ACC" w:rsidRDefault="00DB5ACC" w:rsidP="0059196A">
            <w:pPr>
              <w:tabs>
                <w:tab w:val="left" w:pos="-720"/>
              </w:tabs>
              <w:spacing w:before="109" w:after="54"/>
            </w:pPr>
            <w:r>
              <w:rPr>
                <w:b/>
              </w:rPr>
              <w:t>TERMS OF REFERENCE  (to be completed by Hiring Office)</w:t>
            </w:r>
          </w:p>
        </w:tc>
      </w:tr>
      <w:tr w:rsidR="00DB5ACC" w14:paraId="597AE81B" w14:textId="77777777" w:rsidTr="0059196A">
        <w:trPr>
          <w:trHeight w:val="460"/>
        </w:trPr>
        <w:tc>
          <w:tcPr>
            <w:tcW w:w="2730" w:type="dxa"/>
            <w:tcBorders>
              <w:top w:val="single" w:sz="6" w:space="0" w:color="000000"/>
              <w:left w:val="single" w:sz="6" w:space="0" w:color="000000"/>
              <w:bottom w:val="single" w:sz="4" w:space="0" w:color="000000"/>
            </w:tcBorders>
          </w:tcPr>
          <w:p w14:paraId="75C83298" w14:textId="77777777" w:rsidR="00DB5ACC" w:rsidRDefault="00DB5ACC" w:rsidP="0059196A">
            <w:pPr>
              <w:tabs>
                <w:tab w:val="left" w:pos="-720"/>
              </w:tabs>
              <w:spacing w:before="40" w:after="54"/>
            </w:pPr>
            <w:r>
              <w:t>Hiring Office:</w:t>
            </w:r>
          </w:p>
        </w:tc>
        <w:tc>
          <w:tcPr>
            <w:tcW w:w="7710" w:type="dxa"/>
            <w:tcBorders>
              <w:top w:val="single" w:sz="6" w:space="0" w:color="000000"/>
              <w:left w:val="single" w:sz="6" w:space="0" w:color="000000"/>
              <w:bottom w:val="single" w:sz="4" w:space="0" w:color="000000"/>
              <w:right w:val="single" w:sz="6" w:space="0" w:color="000000"/>
            </w:tcBorders>
          </w:tcPr>
          <w:p w14:paraId="1C49E24A" w14:textId="77777777" w:rsidR="00DB5ACC" w:rsidRDefault="00DB5ACC" w:rsidP="0059196A">
            <w:pPr>
              <w:tabs>
                <w:tab w:val="left" w:pos="-720"/>
              </w:tabs>
              <w:spacing w:before="40" w:after="54"/>
            </w:pPr>
            <w:r>
              <w:rPr>
                <w:lang w:val="fr-CA"/>
              </w:rPr>
              <w:t xml:space="preserve">Bureau pays </w:t>
            </w:r>
            <w:r>
              <w:t xml:space="preserve">Mali </w:t>
            </w:r>
          </w:p>
        </w:tc>
      </w:tr>
      <w:tr w:rsidR="00DB5ACC" w:rsidRPr="00D27D37" w14:paraId="5D72B4C4" w14:textId="77777777" w:rsidTr="0059196A">
        <w:tc>
          <w:tcPr>
            <w:tcW w:w="2730" w:type="dxa"/>
            <w:tcBorders>
              <w:top w:val="single" w:sz="6" w:space="0" w:color="000000"/>
              <w:left w:val="single" w:sz="6" w:space="0" w:color="000000"/>
              <w:bottom w:val="single" w:sz="6" w:space="0" w:color="000000"/>
            </w:tcBorders>
          </w:tcPr>
          <w:p w14:paraId="5B2728A0" w14:textId="77777777" w:rsidR="00DB5ACC" w:rsidRDefault="00DB5ACC" w:rsidP="0059196A">
            <w:pPr>
              <w:tabs>
                <w:tab w:val="left" w:pos="-720"/>
              </w:tabs>
              <w:spacing w:before="40" w:after="54"/>
            </w:pPr>
            <w:r>
              <w:t>Purpose of consultancy:</w:t>
            </w:r>
          </w:p>
        </w:tc>
        <w:tc>
          <w:tcPr>
            <w:tcW w:w="7710" w:type="dxa"/>
            <w:tcBorders>
              <w:top w:val="single" w:sz="6" w:space="0" w:color="000000"/>
              <w:left w:val="single" w:sz="6" w:space="0" w:color="000000"/>
              <w:bottom w:val="single" w:sz="6" w:space="0" w:color="000000"/>
              <w:right w:val="single" w:sz="6" w:space="0" w:color="000000"/>
            </w:tcBorders>
          </w:tcPr>
          <w:p w14:paraId="3B85DE85" w14:textId="0424CD13" w:rsidR="00A8258E" w:rsidRDefault="00A8258E" w:rsidP="00A8258E">
            <w:pPr>
              <w:jc w:val="both"/>
              <w:rPr>
                <w:sz w:val="22"/>
                <w:szCs w:val="22"/>
                <w:lang w:val="fr-FR"/>
              </w:rPr>
            </w:pPr>
            <w:r w:rsidRPr="00A8258E">
              <w:rPr>
                <w:sz w:val="22"/>
                <w:szCs w:val="22"/>
                <w:lang w:val="fr-FR"/>
              </w:rPr>
              <w:t>Le renforcement des capacités des acteurs (prestataires de services, structures, etc.)  a pour contexte de mieux gérer les cas de violence basé sur le genre (VBG) en matière de collecte et de conservation des preuves médico-légales et électroniques. L'objectif est de permettre une meilleure protection des survivantes /victimes et une action plus efficace contre la VBG. Ce renforcement de capacités est essentiel pour améliorer la qualité des interventions et garantir une réponse multisectorielle et intégrée aux cas de VBG</w:t>
            </w:r>
            <w:r>
              <w:rPr>
                <w:sz w:val="22"/>
                <w:szCs w:val="22"/>
                <w:lang w:val="fr-FR"/>
              </w:rPr>
              <w:t>.</w:t>
            </w:r>
          </w:p>
          <w:p w14:paraId="12DC1531" w14:textId="77777777" w:rsidR="00A8258E" w:rsidRPr="00A8258E" w:rsidRDefault="00A8258E" w:rsidP="00A8258E">
            <w:pPr>
              <w:jc w:val="both"/>
              <w:rPr>
                <w:sz w:val="22"/>
                <w:szCs w:val="22"/>
                <w:lang w:val="fr-FR"/>
              </w:rPr>
            </w:pPr>
          </w:p>
          <w:p w14:paraId="19B6574E" w14:textId="77777777" w:rsidR="00A8258E" w:rsidRPr="00A8258E" w:rsidRDefault="00A8258E" w:rsidP="00A8258E">
            <w:pPr>
              <w:jc w:val="both"/>
              <w:rPr>
                <w:sz w:val="22"/>
                <w:szCs w:val="22"/>
                <w:lang w:val="fr-FR"/>
              </w:rPr>
            </w:pPr>
            <w:r w:rsidRPr="00A8258E">
              <w:rPr>
                <w:sz w:val="22"/>
                <w:szCs w:val="22"/>
                <w:lang w:val="fr-FR"/>
              </w:rPr>
              <w:t>Le renforcement des capacités des acteurs pour la collecte et la conservation des preuves médico-légales et électroniques en matière de VBG vise à améliorer la qualité des investigations et des poursuites judiciaires en matière de violence basée sur le genre. Plus spécifiquement, il vise à : améliorer les compétences des professionnels pour la collecte et la conservation adéquate des preuves, renforcer la collaboration entre les différents acteurs (police, justice, acteurs sociaux), et optimiser les procédures de traitement des preuves pour garantir leur admissibilité en justice.</w:t>
            </w:r>
          </w:p>
          <w:p w14:paraId="03400DA7" w14:textId="17835326" w:rsidR="00A8258E" w:rsidRDefault="00A8258E" w:rsidP="00A8258E">
            <w:pPr>
              <w:jc w:val="both"/>
              <w:rPr>
                <w:sz w:val="22"/>
                <w:szCs w:val="22"/>
                <w:lang w:val="fr-FR"/>
              </w:rPr>
            </w:pPr>
            <w:r w:rsidRPr="00A8258E">
              <w:rPr>
                <w:sz w:val="22"/>
                <w:szCs w:val="22"/>
                <w:lang w:val="fr-FR"/>
              </w:rPr>
              <w:t>En résumé, la collecte de preuves médico-légales et électroniques est cruciale pour établir la culpabilité des auteurs de VBG et garantir le respect des droits des survivant(es)s. Une formation adéquate des acteurs locaux est donc essentielle pour r</w:t>
            </w:r>
            <w:r>
              <w:rPr>
                <w:sz w:val="22"/>
                <w:szCs w:val="22"/>
                <w:lang w:val="fr-FR"/>
              </w:rPr>
              <w:t>enforcer la lutte contre la VBG.</w:t>
            </w:r>
          </w:p>
          <w:p w14:paraId="2419A562" w14:textId="77777777" w:rsidR="00A8258E" w:rsidRPr="00A8258E" w:rsidRDefault="00A8258E" w:rsidP="00A8258E">
            <w:pPr>
              <w:jc w:val="both"/>
              <w:rPr>
                <w:sz w:val="22"/>
                <w:szCs w:val="22"/>
                <w:lang w:val="fr-FR"/>
              </w:rPr>
            </w:pPr>
          </w:p>
          <w:p w14:paraId="6898655E" w14:textId="16D72966" w:rsidR="00F019EA" w:rsidRPr="00A8258E" w:rsidRDefault="00A8258E" w:rsidP="00F019EA">
            <w:pPr>
              <w:jc w:val="both"/>
              <w:rPr>
                <w:sz w:val="22"/>
                <w:szCs w:val="22"/>
                <w:lang w:val="fr-CA"/>
              </w:rPr>
            </w:pPr>
            <w:r w:rsidRPr="00A8258E">
              <w:rPr>
                <w:sz w:val="22"/>
                <w:szCs w:val="22"/>
                <w:lang w:val="fr-FR"/>
              </w:rPr>
              <w:t xml:space="preserve">C’est dans cette optique que l’UNFPA, envisage le recrutement d’un(e)consultant(e), spécialiste en matière de VBG et de droit pénal en vue de la facilitation de l’atelier de </w:t>
            </w:r>
            <w:r w:rsidRPr="00A8258E">
              <w:rPr>
                <w:sz w:val="22"/>
                <w:szCs w:val="22"/>
                <w:lang w:val="fr-CA"/>
              </w:rPr>
              <w:t>Renforcement de capacité des acteurs sur les techniques de rassemblement et de conservation de preuves médico-légales et électroniques en matière de Violences Basées sur le Genre.</w:t>
            </w:r>
          </w:p>
          <w:p w14:paraId="1E3474D4" w14:textId="2EF76B19" w:rsidR="00DB5ACC" w:rsidRPr="00B27518" w:rsidRDefault="00DB5ACC" w:rsidP="007128CF">
            <w:pPr>
              <w:rPr>
                <w:sz w:val="22"/>
                <w:szCs w:val="22"/>
                <w:lang w:val="fr-FR"/>
              </w:rPr>
            </w:pPr>
          </w:p>
        </w:tc>
      </w:tr>
      <w:tr w:rsidR="00DB5ACC" w:rsidRPr="00D27D37" w14:paraId="0B0FF027" w14:textId="77777777" w:rsidTr="0059196A">
        <w:tc>
          <w:tcPr>
            <w:tcW w:w="2730" w:type="dxa"/>
            <w:tcBorders>
              <w:top w:val="single" w:sz="6" w:space="0" w:color="000000"/>
              <w:left w:val="single" w:sz="6" w:space="0" w:color="000000"/>
              <w:bottom w:val="single" w:sz="6" w:space="0" w:color="000000"/>
            </w:tcBorders>
          </w:tcPr>
          <w:p w14:paraId="148DB58C" w14:textId="77777777" w:rsidR="00DB5ACC" w:rsidRDefault="00DB5ACC" w:rsidP="0059196A">
            <w:pPr>
              <w:tabs>
                <w:tab w:val="left" w:pos="-720"/>
              </w:tabs>
              <w:spacing w:before="40" w:after="54"/>
            </w:pPr>
            <w:r>
              <w:t>Scope of work:</w:t>
            </w:r>
          </w:p>
          <w:p w14:paraId="1B7A7662" w14:textId="77777777" w:rsidR="00DB5ACC" w:rsidRDefault="00DB5ACC" w:rsidP="0059196A">
            <w:pPr>
              <w:tabs>
                <w:tab w:val="left" w:pos="-720"/>
              </w:tabs>
              <w:spacing w:before="40" w:after="54"/>
            </w:pPr>
          </w:p>
          <w:p w14:paraId="441C3BC2" w14:textId="77777777" w:rsidR="00DB5ACC" w:rsidRDefault="00DB5ACC" w:rsidP="0059196A">
            <w:pPr>
              <w:tabs>
                <w:tab w:val="left" w:pos="-720"/>
              </w:tabs>
              <w:spacing w:before="40" w:after="54"/>
            </w:pPr>
            <w:r>
              <w:rPr>
                <w:i/>
              </w:rPr>
              <w:t>(Description of services, activities, or outputs)</w:t>
            </w:r>
          </w:p>
        </w:tc>
        <w:tc>
          <w:tcPr>
            <w:tcW w:w="7710" w:type="dxa"/>
            <w:tcBorders>
              <w:top w:val="single" w:sz="6" w:space="0" w:color="000000"/>
              <w:left w:val="single" w:sz="6" w:space="0" w:color="000000"/>
              <w:bottom w:val="single" w:sz="6" w:space="0" w:color="000000"/>
              <w:right w:val="single" w:sz="6" w:space="0" w:color="000000"/>
            </w:tcBorders>
          </w:tcPr>
          <w:p w14:paraId="51751AB8" w14:textId="77777777" w:rsidR="00A8258E" w:rsidRPr="00A8258E" w:rsidRDefault="00A8258E" w:rsidP="00A8258E">
            <w:pPr>
              <w:pBdr>
                <w:top w:val="nil"/>
                <w:left w:val="nil"/>
                <w:bottom w:val="nil"/>
                <w:right w:val="nil"/>
                <w:between w:val="nil"/>
              </w:pBdr>
              <w:jc w:val="both"/>
              <w:rPr>
                <w:sz w:val="22"/>
                <w:szCs w:val="22"/>
                <w:lang w:val="fr-CA"/>
              </w:rPr>
            </w:pPr>
            <w:r w:rsidRPr="00A8258E">
              <w:rPr>
                <w:sz w:val="22"/>
                <w:szCs w:val="22"/>
                <w:lang w:val="fr-FR"/>
              </w:rPr>
              <w:t xml:space="preserve">Le consultant en appui à UNFPA, fournira un appui technique en tant que point focal, spécialiste en matière de VBG et de droit pénal, assurant la facilitation de l’atelier de </w:t>
            </w:r>
            <w:r w:rsidRPr="00A8258E">
              <w:rPr>
                <w:sz w:val="22"/>
                <w:szCs w:val="22"/>
                <w:lang w:val="fr-CA"/>
              </w:rPr>
              <w:t>Renforcement de capacité des acteurs sur les techniques de rassemblement et de conservation de preuves médico-légales et électroniques en matière de Violences Basées sur le Genre.</w:t>
            </w:r>
          </w:p>
          <w:p w14:paraId="148EF58A" w14:textId="77777777" w:rsidR="00A8258E" w:rsidRPr="00A8258E" w:rsidRDefault="00A8258E" w:rsidP="00A8258E">
            <w:pPr>
              <w:pBdr>
                <w:top w:val="nil"/>
                <w:left w:val="nil"/>
                <w:bottom w:val="nil"/>
                <w:right w:val="nil"/>
                <w:between w:val="nil"/>
              </w:pBdr>
              <w:jc w:val="both"/>
              <w:rPr>
                <w:sz w:val="22"/>
                <w:szCs w:val="22"/>
                <w:lang w:val="fr-FR"/>
              </w:rPr>
            </w:pPr>
            <w:r w:rsidRPr="00A8258E">
              <w:rPr>
                <w:sz w:val="22"/>
                <w:szCs w:val="22"/>
                <w:lang w:val="fr-FR"/>
              </w:rPr>
              <w:t>Le rôle principal du consultant dans cet atelier est d'expertiser et de transmettre ses connaissances sur les méthodes de collecte de preuves dans le cadre de la violence basée sur le genre (VBG), en mettant l'accent sur les preuves médico-légales et électroniques. Il doit également faciliter le transfert de ces compétences aux participants.</w:t>
            </w:r>
          </w:p>
          <w:p w14:paraId="4B6E69CD" w14:textId="29B2BF88" w:rsidR="00A8258E" w:rsidRDefault="00A8258E" w:rsidP="00A8258E">
            <w:pPr>
              <w:pBdr>
                <w:top w:val="nil"/>
                <w:left w:val="nil"/>
                <w:bottom w:val="nil"/>
                <w:right w:val="nil"/>
                <w:between w:val="nil"/>
              </w:pBdr>
              <w:jc w:val="both"/>
              <w:rPr>
                <w:sz w:val="22"/>
                <w:szCs w:val="22"/>
                <w:lang w:val="fr-FR"/>
              </w:rPr>
            </w:pPr>
            <w:r w:rsidRPr="00A8258E">
              <w:rPr>
                <w:sz w:val="22"/>
                <w:szCs w:val="22"/>
                <w:lang w:val="fr-FR"/>
              </w:rPr>
              <w:t xml:space="preserve"> Plus précisément, le consultant aura pour missions principales:</w:t>
            </w:r>
          </w:p>
          <w:p w14:paraId="496A8BF6" w14:textId="77777777" w:rsidR="00A8258E" w:rsidRPr="00A8258E" w:rsidRDefault="00A8258E" w:rsidP="00A8258E">
            <w:pPr>
              <w:pBdr>
                <w:top w:val="nil"/>
                <w:left w:val="nil"/>
                <w:bottom w:val="nil"/>
                <w:right w:val="nil"/>
                <w:between w:val="nil"/>
              </w:pBdr>
              <w:jc w:val="both"/>
              <w:rPr>
                <w:sz w:val="22"/>
                <w:szCs w:val="22"/>
                <w:lang w:val="fr-FR"/>
              </w:rPr>
            </w:pPr>
          </w:p>
          <w:p w14:paraId="65DDBFED" w14:textId="77777777" w:rsidR="00000000" w:rsidRPr="00A8258E" w:rsidRDefault="00A8258E" w:rsidP="00A8258E">
            <w:pPr>
              <w:pBdr>
                <w:top w:val="nil"/>
                <w:left w:val="nil"/>
                <w:bottom w:val="nil"/>
                <w:right w:val="nil"/>
                <w:between w:val="nil"/>
              </w:pBdr>
              <w:jc w:val="both"/>
              <w:rPr>
                <w:sz w:val="22"/>
                <w:szCs w:val="22"/>
                <w:lang w:val="fr-FR"/>
              </w:rPr>
            </w:pPr>
            <w:r w:rsidRPr="00A8258E">
              <w:rPr>
                <w:b/>
                <w:bCs/>
                <w:sz w:val="22"/>
                <w:szCs w:val="22"/>
                <w:lang w:val="fr-FR"/>
              </w:rPr>
              <w:t>1</w:t>
            </w:r>
            <w:r w:rsidR="00BD66E5" w:rsidRPr="00A8258E">
              <w:rPr>
                <w:b/>
                <w:bCs/>
                <w:sz w:val="22"/>
                <w:szCs w:val="22"/>
                <w:lang w:val="fr-FR"/>
              </w:rPr>
              <w:t>.</w:t>
            </w:r>
            <w:r w:rsidR="00BD66E5" w:rsidRPr="00A8258E">
              <w:rPr>
                <w:sz w:val="22"/>
                <w:szCs w:val="22"/>
                <w:lang w:val="fr-FR"/>
              </w:rPr>
              <w:t> </w:t>
            </w:r>
            <w:r w:rsidR="00BD66E5" w:rsidRPr="00A8258E">
              <w:rPr>
                <w:b/>
                <w:bCs/>
                <w:sz w:val="22"/>
                <w:szCs w:val="22"/>
                <w:lang w:val="fr-FR"/>
              </w:rPr>
              <w:t>Identifier les besoins des acteurs :</w:t>
            </w:r>
          </w:p>
          <w:p w14:paraId="0718DADE"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Déterminer les lacunes actuelles :</w:t>
            </w:r>
            <w:r w:rsidRPr="00A8258E">
              <w:rPr>
                <w:sz w:val="22"/>
                <w:szCs w:val="22"/>
                <w:lang w:val="fr-FR"/>
              </w:rPr>
              <w:t> Évaluer les connaissances et compétences existantes des acteurs (agents de la police, professionnels de la santé, travailleurs sociaux, etc.) en matière de collecte de preuves médico-légales et électroniques pour les cas de VBG.</w:t>
            </w:r>
          </w:p>
          <w:p w14:paraId="5F911C1C"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Comprendre les défis spécifiques :</w:t>
            </w:r>
            <w:r w:rsidRPr="00A8258E">
              <w:rPr>
                <w:sz w:val="22"/>
                <w:szCs w:val="22"/>
                <w:lang w:val="fr-FR"/>
              </w:rPr>
              <w:t> Identifier les obstacles rencontrés par les acteurs dans la collecte, l'analyse et la préservation des preuves dans les cas de VBG, notamment en termes de ressources, de matériel, de formation et de procédures.</w:t>
            </w:r>
          </w:p>
          <w:p w14:paraId="5CF0577B" w14:textId="1788481E" w:rsid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Écouter les participants :</w:t>
            </w:r>
            <w:r w:rsidRPr="00A8258E">
              <w:rPr>
                <w:sz w:val="22"/>
                <w:szCs w:val="22"/>
                <w:lang w:val="fr-FR"/>
              </w:rPr>
              <w:t> Collecteur d'informations auprès des acteurs concernés par le biais d'entrevues, d'enquêtes ou de groupes de discussion pour comprendre leurs besoins et attentes spécifiques.</w:t>
            </w:r>
          </w:p>
          <w:p w14:paraId="62436204" w14:textId="77777777" w:rsidR="00A8258E" w:rsidRPr="00A8258E" w:rsidRDefault="00A8258E" w:rsidP="00A8258E">
            <w:pPr>
              <w:pBdr>
                <w:top w:val="nil"/>
                <w:left w:val="nil"/>
                <w:bottom w:val="nil"/>
                <w:right w:val="nil"/>
                <w:between w:val="nil"/>
              </w:pBdr>
              <w:ind w:left="1440"/>
              <w:jc w:val="both"/>
              <w:rPr>
                <w:sz w:val="22"/>
                <w:szCs w:val="22"/>
                <w:lang w:val="fr-FR"/>
              </w:rPr>
            </w:pPr>
          </w:p>
          <w:p w14:paraId="0B58E673" w14:textId="77777777" w:rsidR="00A8258E" w:rsidRPr="00A8258E" w:rsidRDefault="00A8258E" w:rsidP="00A8258E">
            <w:pPr>
              <w:pBdr>
                <w:top w:val="nil"/>
                <w:left w:val="nil"/>
                <w:bottom w:val="nil"/>
                <w:right w:val="nil"/>
                <w:between w:val="nil"/>
              </w:pBdr>
              <w:jc w:val="both"/>
              <w:rPr>
                <w:sz w:val="22"/>
                <w:szCs w:val="22"/>
                <w:lang w:val="fr-FR"/>
              </w:rPr>
            </w:pPr>
            <w:r w:rsidRPr="00A8258E">
              <w:rPr>
                <w:b/>
                <w:bCs/>
                <w:sz w:val="22"/>
                <w:szCs w:val="22"/>
                <w:lang w:val="fr-FR"/>
              </w:rPr>
              <w:t>2.</w:t>
            </w:r>
            <w:r w:rsidRPr="00A8258E">
              <w:rPr>
                <w:sz w:val="22"/>
                <w:szCs w:val="22"/>
                <w:lang w:val="fr-FR"/>
              </w:rPr>
              <w:t> </w:t>
            </w:r>
            <w:r w:rsidRPr="00A8258E">
              <w:rPr>
                <w:b/>
                <w:bCs/>
                <w:sz w:val="22"/>
                <w:szCs w:val="22"/>
                <w:lang w:val="fr-FR"/>
              </w:rPr>
              <w:t>Concevoir un programme d'atelier adapté :</w:t>
            </w:r>
          </w:p>
          <w:p w14:paraId="6C8D784E"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lastRenderedPageBreak/>
              <w:t>Sélectionnez les modules pertinents :</w:t>
            </w:r>
            <w:r w:rsidRPr="00A8258E">
              <w:rPr>
                <w:sz w:val="22"/>
                <w:szCs w:val="22"/>
                <w:lang w:val="fr-FR"/>
              </w:rPr>
              <w:t> Identifier les sujets clés à aborder lors de l'atelier, tels que les techniques de collecte de preuves médico-légales (examens médicaux, collecte de sang, etc.), la collecte et l'analyse de preuves électroniques (journaux de communication, images, etc.), l'utilisation de logiciels et d'outils spécifiques, la chaîne de conservation des preuves et les procédures d'investigation.</w:t>
            </w:r>
          </w:p>
          <w:p w14:paraId="0A4D40D3"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Définir les objectifs d'apprentissage :</w:t>
            </w:r>
            <w:r w:rsidRPr="00A8258E">
              <w:rPr>
                <w:sz w:val="22"/>
                <w:szCs w:val="22"/>
                <w:lang w:val="fr-FR"/>
              </w:rPr>
              <w:t> Formuler des objectifs précis et mesurables pour chaque module de l'atelier, en veillant à ce que les participants soient capables de mettre en pratique les connaissances acquises dans la collection et la gestion des preuves.</w:t>
            </w:r>
          </w:p>
          <w:p w14:paraId="50BC9520" w14:textId="4E14195B" w:rsid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Choisir les méthodes d'apprentissage :</w:t>
            </w:r>
            <w:r w:rsidRPr="00A8258E">
              <w:rPr>
                <w:sz w:val="22"/>
                <w:szCs w:val="22"/>
                <w:lang w:val="fr-FR"/>
              </w:rPr>
              <w:t> Opter pour des méthodes d'apprentissage interactives, comme des ateliers pratiques, des études de cas, des simulations et des discussions en groupe, pour favoriser l'engagement et l'apprentissage actif.</w:t>
            </w:r>
          </w:p>
          <w:p w14:paraId="741D9318" w14:textId="77777777" w:rsidR="00A8258E" w:rsidRPr="00A8258E" w:rsidRDefault="00A8258E" w:rsidP="00A8258E">
            <w:pPr>
              <w:pBdr>
                <w:top w:val="nil"/>
                <w:left w:val="nil"/>
                <w:bottom w:val="nil"/>
                <w:right w:val="nil"/>
                <w:between w:val="nil"/>
              </w:pBdr>
              <w:ind w:left="1440"/>
              <w:jc w:val="both"/>
              <w:rPr>
                <w:sz w:val="22"/>
                <w:szCs w:val="22"/>
                <w:lang w:val="fr-FR"/>
              </w:rPr>
            </w:pPr>
          </w:p>
          <w:p w14:paraId="6DB1C87C" w14:textId="77777777" w:rsidR="00A8258E" w:rsidRPr="00A8258E" w:rsidRDefault="00A8258E" w:rsidP="00A8258E">
            <w:pPr>
              <w:pBdr>
                <w:top w:val="nil"/>
                <w:left w:val="nil"/>
                <w:bottom w:val="nil"/>
                <w:right w:val="nil"/>
                <w:between w:val="nil"/>
              </w:pBdr>
              <w:jc w:val="both"/>
              <w:rPr>
                <w:sz w:val="22"/>
                <w:szCs w:val="22"/>
                <w:lang w:val="fr-FR"/>
              </w:rPr>
            </w:pPr>
            <w:r w:rsidRPr="00A8258E">
              <w:rPr>
                <w:b/>
                <w:bCs/>
                <w:sz w:val="22"/>
                <w:szCs w:val="22"/>
                <w:lang w:val="fr-FR"/>
              </w:rPr>
              <w:t>3.</w:t>
            </w:r>
            <w:r w:rsidRPr="00A8258E">
              <w:rPr>
                <w:sz w:val="22"/>
                <w:szCs w:val="22"/>
                <w:lang w:val="fr-FR"/>
              </w:rPr>
              <w:t> </w:t>
            </w:r>
            <w:r w:rsidRPr="00A8258E">
              <w:rPr>
                <w:b/>
                <w:bCs/>
                <w:sz w:val="22"/>
                <w:szCs w:val="22"/>
                <w:lang w:val="fr-FR"/>
              </w:rPr>
              <w:t>Élaborer le contenu pédagogique :</w:t>
            </w:r>
          </w:p>
          <w:p w14:paraId="58653169"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Proposer des ressources de qualité :</w:t>
            </w:r>
            <w:r w:rsidRPr="00A8258E">
              <w:rPr>
                <w:sz w:val="22"/>
                <w:szCs w:val="22"/>
                <w:lang w:val="fr-FR"/>
              </w:rPr>
              <w:t> Concevoir des supports de présentation, des manuels, des guides pratiques et des outils pédagogiques adaptés au public cible, en veillant à ce qu'ils soient clairs, concis et faciles à comprendre.</w:t>
            </w:r>
          </w:p>
          <w:p w14:paraId="3D25666E"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Inscrire les VBG dans un contexte juridique :</w:t>
            </w:r>
            <w:r w:rsidRPr="00A8258E">
              <w:rPr>
                <w:sz w:val="22"/>
                <w:szCs w:val="22"/>
                <w:lang w:val="fr-FR"/>
              </w:rPr>
              <w:t> Expliquer les cadres juridiques nationaux et internationaux relatifs à la VBG, aux droits des survivants et aux mécanismes de recours.</w:t>
            </w:r>
          </w:p>
          <w:p w14:paraId="5ED76945" w14:textId="2DA0F429" w:rsid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Souligner l'importance de la confidentialité et du respect :</w:t>
            </w:r>
            <w:r w:rsidRPr="00A8258E">
              <w:rPr>
                <w:sz w:val="22"/>
                <w:szCs w:val="22"/>
                <w:lang w:val="fr-FR"/>
              </w:rPr>
              <w:t> Insister sur l'importance de la confidentialité, de la sécurité et du respect des droits des survivants lors de la collecte de preuves et de la gestion des cas.</w:t>
            </w:r>
          </w:p>
          <w:p w14:paraId="12C386DD" w14:textId="77777777" w:rsidR="00A8258E" w:rsidRPr="00A8258E" w:rsidRDefault="00A8258E" w:rsidP="00A8258E">
            <w:pPr>
              <w:pBdr>
                <w:top w:val="nil"/>
                <w:left w:val="nil"/>
                <w:bottom w:val="nil"/>
                <w:right w:val="nil"/>
                <w:between w:val="nil"/>
              </w:pBdr>
              <w:ind w:left="1440"/>
              <w:jc w:val="both"/>
              <w:rPr>
                <w:sz w:val="22"/>
                <w:szCs w:val="22"/>
                <w:lang w:val="fr-FR"/>
              </w:rPr>
            </w:pPr>
          </w:p>
          <w:p w14:paraId="08EE57B5" w14:textId="77777777" w:rsidR="00A8258E" w:rsidRPr="00A8258E" w:rsidRDefault="00A8258E" w:rsidP="00A8258E">
            <w:pPr>
              <w:pBdr>
                <w:top w:val="nil"/>
                <w:left w:val="nil"/>
                <w:bottom w:val="nil"/>
                <w:right w:val="nil"/>
                <w:between w:val="nil"/>
              </w:pBdr>
              <w:jc w:val="both"/>
              <w:rPr>
                <w:sz w:val="22"/>
                <w:szCs w:val="22"/>
                <w:lang w:val="fr-FR"/>
              </w:rPr>
            </w:pPr>
            <w:r w:rsidRPr="00A8258E">
              <w:rPr>
                <w:b/>
                <w:bCs/>
                <w:sz w:val="22"/>
                <w:szCs w:val="22"/>
                <w:lang w:val="fr-FR"/>
              </w:rPr>
              <w:t>4.</w:t>
            </w:r>
            <w:r w:rsidRPr="00A8258E">
              <w:rPr>
                <w:sz w:val="22"/>
                <w:szCs w:val="22"/>
                <w:lang w:val="fr-FR"/>
              </w:rPr>
              <w:t> </w:t>
            </w:r>
            <w:r w:rsidRPr="00A8258E">
              <w:rPr>
                <w:b/>
                <w:bCs/>
                <w:sz w:val="22"/>
                <w:szCs w:val="22"/>
                <w:lang w:val="fr-FR"/>
              </w:rPr>
              <w:t>Évaluer l'impact de l'atelier :</w:t>
            </w:r>
          </w:p>
          <w:p w14:paraId="3AA773DA" w14:textId="77777777" w:rsidR="00A8258E" w:rsidRP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Définir les critères d'évaluation :</w:t>
            </w:r>
            <w:r w:rsidRPr="00A8258E">
              <w:rPr>
                <w:sz w:val="22"/>
                <w:szCs w:val="22"/>
                <w:lang w:val="fr-FR"/>
              </w:rPr>
              <w:t> Identifier les indicateurs qui permettront d'évaluer l'impact de l'atelier sur les participants, tels que le niveau de connaissances acquis, les changements de pratiques, et l'amélioration de la qualité des enquêtes.</w:t>
            </w:r>
          </w:p>
          <w:p w14:paraId="45143568" w14:textId="6D0788FD" w:rsidR="00A8258E" w:rsidRDefault="00A8258E" w:rsidP="00A8258E">
            <w:pPr>
              <w:numPr>
                <w:ilvl w:val="1"/>
                <w:numId w:val="16"/>
              </w:numPr>
              <w:pBdr>
                <w:top w:val="nil"/>
                <w:left w:val="nil"/>
                <w:bottom w:val="nil"/>
                <w:right w:val="nil"/>
                <w:between w:val="nil"/>
              </w:pBdr>
              <w:jc w:val="both"/>
              <w:rPr>
                <w:sz w:val="22"/>
                <w:szCs w:val="22"/>
                <w:lang w:val="fr-FR"/>
              </w:rPr>
            </w:pPr>
            <w:r w:rsidRPr="00A8258E">
              <w:rPr>
                <w:b/>
                <w:bCs/>
                <w:sz w:val="22"/>
                <w:szCs w:val="22"/>
                <w:lang w:val="fr-FR"/>
              </w:rPr>
              <w:t>Utiliser des outils d'évaluation :</w:t>
            </w:r>
            <w:r w:rsidRPr="00A8258E">
              <w:rPr>
                <w:sz w:val="22"/>
                <w:szCs w:val="22"/>
                <w:lang w:val="fr-FR"/>
              </w:rPr>
              <w:t> Mettre en place des questionnaires de satisfaction, des évaluations de connaissances et des études de cas pour mesurer l'efficacité de l'atelier et identifier les points à améliorer. </w:t>
            </w:r>
          </w:p>
          <w:p w14:paraId="551F4BBE" w14:textId="77777777" w:rsidR="00A8258E" w:rsidRPr="00A8258E" w:rsidRDefault="00A8258E" w:rsidP="00A8258E">
            <w:pPr>
              <w:pBdr>
                <w:top w:val="nil"/>
                <w:left w:val="nil"/>
                <w:bottom w:val="nil"/>
                <w:right w:val="nil"/>
                <w:between w:val="nil"/>
              </w:pBdr>
              <w:ind w:left="1440"/>
              <w:jc w:val="both"/>
              <w:rPr>
                <w:sz w:val="22"/>
                <w:szCs w:val="22"/>
                <w:lang w:val="fr-FR"/>
              </w:rPr>
            </w:pPr>
          </w:p>
          <w:p w14:paraId="0525B878" w14:textId="0CA4ED80" w:rsidR="00A8258E" w:rsidRPr="00A8258E" w:rsidRDefault="00A8258E" w:rsidP="00A8258E">
            <w:pPr>
              <w:pBdr>
                <w:top w:val="nil"/>
                <w:left w:val="nil"/>
                <w:bottom w:val="nil"/>
                <w:right w:val="nil"/>
                <w:between w:val="nil"/>
              </w:pBdr>
              <w:jc w:val="both"/>
              <w:rPr>
                <w:sz w:val="22"/>
                <w:szCs w:val="22"/>
                <w:lang w:val="fr-FR"/>
              </w:rPr>
            </w:pPr>
            <w:r>
              <w:rPr>
                <w:sz w:val="22"/>
                <w:szCs w:val="22"/>
                <w:lang w:val="fr-FR"/>
              </w:rPr>
              <w:t xml:space="preserve">Ces </w:t>
            </w:r>
            <w:r w:rsidRPr="00A8258E">
              <w:rPr>
                <w:sz w:val="22"/>
                <w:szCs w:val="22"/>
                <w:lang w:val="fr-FR"/>
              </w:rPr>
              <w:t>principales responsabilités</w:t>
            </w:r>
            <w:r>
              <w:rPr>
                <w:sz w:val="22"/>
                <w:szCs w:val="22"/>
                <w:lang w:val="fr-FR"/>
              </w:rPr>
              <w:t xml:space="preserve"> concerneront </w:t>
            </w:r>
            <w:r w:rsidRPr="00A8258E">
              <w:rPr>
                <w:sz w:val="22"/>
                <w:szCs w:val="22"/>
                <w:lang w:val="fr-FR"/>
              </w:rPr>
              <w:t>la conception et l'animation de l'atelier, la sélection des outils pédagogiques, la préparation du matériel de formation, l'évaluation des participants et la rédaction d'un rapport final.</w:t>
            </w:r>
          </w:p>
          <w:p w14:paraId="4F0B9996" w14:textId="77777777" w:rsidR="00DB5ACC" w:rsidRPr="00A258CF" w:rsidRDefault="00DB5ACC" w:rsidP="00A8258E">
            <w:pPr>
              <w:pBdr>
                <w:top w:val="nil"/>
                <w:left w:val="nil"/>
                <w:bottom w:val="nil"/>
                <w:right w:val="nil"/>
                <w:between w:val="nil"/>
              </w:pBdr>
              <w:jc w:val="both"/>
              <w:rPr>
                <w:sz w:val="22"/>
                <w:szCs w:val="22"/>
                <w:lang w:val="fr-FR"/>
              </w:rPr>
            </w:pPr>
          </w:p>
        </w:tc>
      </w:tr>
      <w:tr w:rsidR="00CC4D7A" w:rsidRPr="00D27D37" w14:paraId="1F74A285" w14:textId="77777777" w:rsidTr="0059196A">
        <w:tc>
          <w:tcPr>
            <w:tcW w:w="2730" w:type="dxa"/>
            <w:tcBorders>
              <w:top w:val="single" w:sz="6" w:space="0" w:color="000000"/>
              <w:left w:val="single" w:sz="6" w:space="0" w:color="000000"/>
              <w:bottom w:val="single" w:sz="6" w:space="0" w:color="000000"/>
            </w:tcBorders>
          </w:tcPr>
          <w:p w14:paraId="3B7DB90A" w14:textId="77777777" w:rsidR="00CC4D7A" w:rsidRPr="00A52003" w:rsidRDefault="00CC4D7A" w:rsidP="0059196A">
            <w:pPr>
              <w:tabs>
                <w:tab w:val="left" w:pos="-720"/>
              </w:tabs>
              <w:spacing w:before="40" w:after="54"/>
              <w:rPr>
                <w:lang w:val="fr-FR"/>
              </w:rPr>
            </w:pPr>
          </w:p>
        </w:tc>
        <w:tc>
          <w:tcPr>
            <w:tcW w:w="7710" w:type="dxa"/>
            <w:tcBorders>
              <w:top w:val="single" w:sz="6" w:space="0" w:color="000000"/>
              <w:left w:val="single" w:sz="6" w:space="0" w:color="000000"/>
              <w:bottom w:val="single" w:sz="6" w:space="0" w:color="000000"/>
              <w:right w:val="single" w:sz="6" w:space="0" w:color="000000"/>
            </w:tcBorders>
          </w:tcPr>
          <w:p w14:paraId="61309297" w14:textId="77777777" w:rsidR="00CC4D7A" w:rsidRPr="00A258CF" w:rsidRDefault="00CC4D7A" w:rsidP="00C2404E">
            <w:pPr>
              <w:pBdr>
                <w:top w:val="nil"/>
                <w:left w:val="nil"/>
                <w:bottom w:val="nil"/>
                <w:right w:val="nil"/>
                <w:between w:val="nil"/>
              </w:pBdr>
              <w:jc w:val="both"/>
              <w:rPr>
                <w:sz w:val="22"/>
                <w:szCs w:val="22"/>
                <w:lang w:val="fr-FR"/>
              </w:rPr>
            </w:pPr>
          </w:p>
        </w:tc>
      </w:tr>
      <w:tr w:rsidR="00DB5ACC" w:rsidRPr="00D27D37" w14:paraId="74F6B4B6" w14:textId="77777777" w:rsidTr="0059196A">
        <w:tc>
          <w:tcPr>
            <w:tcW w:w="2730" w:type="dxa"/>
            <w:tcBorders>
              <w:top w:val="single" w:sz="6" w:space="0" w:color="000000"/>
              <w:left w:val="single" w:sz="6" w:space="0" w:color="000000"/>
              <w:bottom w:val="single" w:sz="6" w:space="0" w:color="000000"/>
            </w:tcBorders>
          </w:tcPr>
          <w:p w14:paraId="7D7CC7C7" w14:textId="77777777" w:rsidR="00DB5ACC" w:rsidRDefault="00DB5ACC" w:rsidP="0059196A">
            <w:pPr>
              <w:tabs>
                <w:tab w:val="left" w:pos="-720"/>
              </w:tabs>
              <w:spacing w:before="40" w:after="54"/>
            </w:pPr>
            <w:r>
              <w:t>Duration and working schedule:</w:t>
            </w:r>
          </w:p>
        </w:tc>
        <w:tc>
          <w:tcPr>
            <w:tcW w:w="7710" w:type="dxa"/>
            <w:tcBorders>
              <w:top w:val="single" w:sz="6" w:space="0" w:color="000000"/>
              <w:left w:val="single" w:sz="6" w:space="0" w:color="000000"/>
              <w:bottom w:val="single" w:sz="6" w:space="0" w:color="000000"/>
              <w:right w:val="single" w:sz="6" w:space="0" w:color="000000"/>
            </w:tcBorders>
          </w:tcPr>
          <w:p w14:paraId="370925AA" w14:textId="4053E1BB" w:rsidR="00DB5ACC" w:rsidRPr="00A8258E" w:rsidRDefault="00A8258E" w:rsidP="00497307">
            <w:pPr>
              <w:tabs>
                <w:tab w:val="left" w:pos="-720"/>
              </w:tabs>
              <w:spacing w:before="40" w:after="54"/>
              <w:jc w:val="both"/>
              <w:rPr>
                <w:sz w:val="22"/>
                <w:szCs w:val="22"/>
                <w:lang w:val="fr-FR"/>
              </w:rPr>
            </w:pPr>
            <w:r w:rsidRPr="00A8258E">
              <w:rPr>
                <w:sz w:val="22"/>
                <w:szCs w:val="22"/>
                <w:lang w:val="fr-FR"/>
              </w:rPr>
              <w:t>La consultation durera (10) jours, du 05 au 16 Mai 2025. Pendant toute la durée de la consultation, le consultant devra tenir compte des exigences de contenu exprimées par le contrat de service et respecter le calendrier de la mission.</w:t>
            </w:r>
          </w:p>
        </w:tc>
      </w:tr>
      <w:tr w:rsidR="00DB5ACC" w:rsidRPr="004B6776" w14:paraId="6384EF57" w14:textId="77777777" w:rsidTr="0059196A">
        <w:tc>
          <w:tcPr>
            <w:tcW w:w="2730" w:type="dxa"/>
            <w:tcBorders>
              <w:top w:val="single" w:sz="6" w:space="0" w:color="000000"/>
              <w:left w:val="single" w:sz="6" w:space="0" w:color="000000"/>
              <w:bottom w:val="single" w:sz="6" w:space="0" w:color="000000"/>
            </w:tcBorders>
          </w:tcPr>
          <w:p w14:paraId="377F8EAC" w14:textId="77777777" w:rsidR="00DB5ACC" w:rsidRDefault="00DB5ACC" w:rsidP="0059196A">
            <w:pPr>
              <w:tabs>
                <w:tab w:val="left" w:pos="-720"/>
              </w:tabs>
              <w:spacing w:before="40" w:after="54"/>
            </w:pPr>
            <w:r>
              <w:t>Place where services are to be delivered:</w:t>
            </w:r>
          </w:p>
        </w:tc>
        <w:tc>
          <w:tcPr>
            <w:tcW w:w="7710" w:type="dxa"/>
            <w:tcBorders>
              <w:top w:val="single" w:sz="6" w:space="0" w:color="000000"/>
              <w:left w:val="single" w:sz="6" w:space="0" w:color="000000"/>
              <w:bottom w:val="single" w:sz="6" w:space="0" w:color="000000"/>
              <w:right w:val="single" w:sz="6" w:space="0" w:color="000000"/>
            </w:tcBorders>
          </w:tcPr>
          <w:p w14:paraId="33912D55" w14:textId="7288A733" w:rsidR="00DB5ACC" w:rsidRPr="002F268A" w:rsidRDefault="00FC38EA" w:rsidP="00FC38EA">
            <w:pPr>
              <w:tabs>
                <w:tab w:val="left" w:pos="-720"/>
              </w:tabs>
              <w:spacing w:before="40" w:after="54"/>
              <w:rPr>
                <w:sz w:val="22"/>
                <w:szCs w:val="22"/>
                <w:highlight w:val="yellow"/>
                <w:lang w:val="fr-CA"/>
              </w:rPr>
            </w:pPr>
            <w:r>
              <w:rPr>
                <w:sz w:val="22"/>
                <w:szCs w:val="22"/>
                <w:lang w:val="fr-CA"/>
              </w:rPr>
              <w:t>Bamako, Mali.</w:t>
            </w:r>
          </w:p>
        </w:tc>
      </w:tr>
      <w:tr w:rsidR="00DB5ACC" w:rsidRPr="00D27D37" w14:paraId="5C89B3D1" w14:textId="77777777" w:rsidTr="0059196A">
        <w:tc>
          <w:tcPr>
            <w:tcW w:w="2730" w:type="dxa"/>
            <w:tcBorders>
              <w:top w:val="single" w:sz="6" w:space="0" w:color="000000"/>
              <w:left w:val="single" w:sz="6" w:space="0" w:color="000000"/>
              <w:bottom w:val="single" w:sz="6" w:space="0" w:color="000000"/>
            </w:tcBorders>
          </w:tcPr>
          <w:p w14:paraId="7DDED829" w14:textId="77777777" w:rsidR="00DB5ACC" w:rsidRDefault="00DB5ACC" w:rsidP="0059196A">
            <w:pPr>
              <w:tabs>
                <w:tab w:val="left" w:pos="-720"/>
              </w:tabs>
              <w:spacing w:before="40" w:after="54"/>
            </w:pPr>
            <w:r>
              <w:t>Delivery dates and how work will be delivered (</w:t>
            </w:r>
            <w:r>
              <w:rPr>
                <w:i/>
              </w:rPr>
              <w:t>e.g.</w:t>
            </w:r>
            <w:r>
              <w:t xml:space="preserve"> electronic, hard copy etc.):</w:t>
            </w:r>
          </w:p>
        </w:tc>
        <w:tc>
          <w:tcPr>
            <w:tcW w:w="7710" w:type="dxa"/>
            <w:tcBorders>
              <w:top w:val="single" w:sz="6" w:space="0" w:color="000000"/>
              <w:left w:val="single" w:sz="6" w:space="0" w:color="000000"/>
              <w:bottom w:val="single" w:sz="6" w:space="0" w:color="000000"/>
              <w:right w:val="single" w:sz="6" w:space="0" w:color="000000"/>
            </w:tcBorders>
          </w:tcPr>
          <w:p w14:paraId="32E4EBC8" w14:textId="77777777" w:rsidR="00BD66E5" w:rsidRPr="00BD66E5" w:rsidRDefault="00BD66E5" w:rsidP="00BD66E5">
            <w:pPr>
              <w:jc w:val="both"/>
              <w:rPr>
                <w:sz w:val="22"/>
                <w:szCs w:val="22"/>
                <w:lang w:val="fr-FR"/>
              </w:rPr>
            </w:pPr>
            <w:r w:rsidRPr="00BD66E5">
              <w:rPr>
                <w:b/>
                <w:sz w:val="22"/>
                <w:szCs w:val="22"/>
                <w:lang w:val="fr-FR"/>
              </w:rPr>
              <w:t>Les livrables</w:t>
            </w:r>
            <w:r w:rsidRPr="00BD66E5">
              <w:rPr>
                <w:sz w:val="22"/>
                <w:szCs w:val="22"/>
                <w:lang w:val="fr-FR"/>
              </w:rPr>
              <w:t> :</w:t>
            </w:r>
          </w:p>
          <w:p w14:paraId="13361566" w14:textId="64A299BB" w:rsidR="00BD66E5" w:rsidRPr="00BD66E5" w:rsidRDefault="00BD66E5" w:rsidP="00BD66E5">
            <w:pPr>
              <w:jc w:val="both"/>
              <w:rPr>
                <w:sz w:val="22"/>
                <w:szCs w:val="22"/>
                <w:lang w:val="fr-FR"/>
              </w:rPr>
            </w:pPr>
            <w:r w:rsidRPr="00BD66E5">
              <w:rPr>
                <w:sz w:val="22"/>
                <w:szCs w:val="22"/>
                <w:lang w:val="fr-FR"/>
              </w:rPr>
              <w:t>Pour une consultation visant à renforcer les capacités sur les preuves médico-légales et électroniques en matière de violence basée sur le genre (VBG), le consultant devrait livrer :</w:t>
            </w:r>
          </w:p>
          <w:p w14:paraId="4CF07539" w14:textId="77777777" w:rsidR="00BD66E5" w:rsidRPr="00BD66E5" w:rsidRDefault="00BD66E5" w:rsidP="00BD66E5">
            <w:pPr>
              <w:jc w:val="both"/>
              <w:rPr>
                <w:sz w:val="22"/>
                <w:szCs w:val="22"/>
                <w:lang w:val="fr-FR"/>
              </w:rPr>
            </w:pPr>
          </w:p>
          <w:p w14:paraId="1CDFB74F" w14:textId="77777777" w:rsidR="00BD66E5" w:rsidRDefault="00BD66E5" w:rsidP="00BD66E5">
            <w:pPr>
              <w:pStyle w:val="Paragraphedeliste"/>
              <w:numPr>
                <w:ilvl w:val="0"/>
                <w:numId w:val="14"/>
              </w:numPr>
              <w:spacing w:after="160" w:line="259" w:lineRule="auto"/>
              <w:jc w:val="both"/>
            </w:pPr>
            <w:r w:rsidRPr="00BD66E5">
              <w:rPr>
                <w:b/>
                <w:sz w:val="22"/>
                <w:szCs w:val="22"/>
                <w:lang w:val="fr-FR"/>
              </w:rPr>
              <w:t>Un plan de travail détaillé avec calendrier</w:t>
            </w:r>
            <w:r w:rsidRPr="00BD66E5">
              <w:rPr>
                <w:sz w:val="22"/>
                <w:szCs w:val="22"/>
                <w:lang w:val="fr-FR"/>
              </w:rPr>
              <w:t> : Un plan précis détaillant les étapes de la consultation, les objectifs de chaque étape, les ressources nécessaires et les indicateurs de performance. </w:t>
            </w:r>
            <w:r w:rsidRPr="00BD66E5">
              <w:rPr>
                <w:sz w:val="22"/>
                <w:szCs w:val="22"/>
              </w:rPr>
              <w:t>Un calendrier détaillé permettra de suivre l'avancement des travaux</w:t>
            </w:r>
            <w:r>
              <w:t>.</w:t>
            </w:r>
          </w:p>
          <w:p w14:paraId="4D880F97" w14:textId="77777777" w:rsidR="00BD66E5" w:rsidRDefault="00BD66E5" w:rsidP="00BD66E5">
            <w:pPr>
              <w:pStyle w:val="Paragraphedeliste"/>
              <w:ind w:left="1440"/>
              <w:jc w:val="both"/>
            </w:pPr>
          </w:p>
          <w:p w14:paraId="77CAEF0A" w14:textId="77777777" w:rsidR="00BD66E5" w:rsidRPr="00BD66E5" w:rsidRDefault="00BD66E5" w:rsidP="00BD66E5">
            <w:pPr>
              <w:pStyle w:val="Paragraphedeliste"/>
              <w:numPr>
                <w:ilvl w:val="0"/>
                <w:numId w:val="14"/>
              </w:numPr>
              <w:spacing w:after="160" w:line="259" w:lineRule="auto"/>
              <w:jc w:val="both"/>
              <w:rPr>
                <w:sz w:val="22"/>
                <w:szCs w:val="22"/>
                <w:lang w:val="fr-FR"/>
              </w:rPr>
            </w:pPr>
            <w:r w:rsidRPr="00BD66E5">
              <w:rPr>
                <w:b/>
                <w:sz w:val="22"/>
                <w:szCs w:val="22"/>
                <w:lang w:val="fr-FR"/>
              </w:rPr>
              <w:lastRenderedPageBreak/>
              <w:t xml:space="preserve"> Un rapport final synthétisant l'atelier</w:t>
            </w:r>
            <w:r w:rsidRPr="00BD66E5">
              <w:rPr>
                <w:sz w:val="22"/>
                <w:szCs w:val="22"/>
                <w:lang w:val="fr-FR"/>
              </w:rPr>
              <w:t> : Un rapport complet synthétisant les objectifs de l'atelier, les méthodes utilisées, les participants, les résultats obtenus et les recommandations pour la mise en œuvre des constats. Le rapport devra également inclure des recommandations pour les besoins de formation spécifiques aux différents acteurs concernés (justice, santé, services sociaux, etc.).</w:t>
            </w:r>
          </w:p>
          <w:p w14:paraId="3F415502" w14:textId="77777777" w:rsidR="00BD66E5" w:rsidRPr="00BD66E5" w:rsidRDefault="00BD66E5" w:rsidP="00BD66E5">
            <w:pPr>
              <w:pStyle w:val="Paragraphedeliste"/>
              <w:rPr>
                <w:sz w:val="22"/>
                <w:szCs w:val="22"/>
                <w:lang w:val="fr-FR"/>
              </w:rPr>
            </w:pPr>
          </w:p>
          <w:p w14:paraId="486709AA" w14:textId="63245A8F" w:rsidR="00BD66E5" w:rsidRPr="00BD66E5" w:rsidRDefault="00BD66E5" w:rsidP="00BD66E5">
            <w:pPr>
              <w:pStyle w:val="Paragraphedeliste"/>
              <w:numPr>
                <w:ilvl w:val="0"/>
                <w:numId w:val="14"/>
              </w:numPr>
              <w:spacing w:after="160" w:line="259" w:lineRule="auto"/>
              <w:jc w:val="both"/>
              <w:rPr>
                <w:sz w:val="22"/>
                <w:szCs w:val="22"/>
                <w:lang w:val="fr-FR"/>
              </w:rPr>
            </w:pPr>
            <w:r w:rsidRPr="00BD66E5">
              <w:rPr>
                <w:b/>
                <w:sz w:val="22"/>
                <w:szCs w:val="22"/>
                <w:lang w:val="fr-FR"/>
              </w:rPr>
              <w:t>Des Modules pédagogiques</w:t>
            </w:r>
            <w:r w:rsidRPr="00BD66E5">
              <w:rPr>
                <w:sz w:val="22"/>
                <w:szCs w:val="22"/>
                <w:lang w:val="fr-FR"/>
              </w:rPr>
              <w:t xml:space="preserve"> : Des modules de formation conçus pour faciliter la compréhension et l'application des techniques de rassemblement des preuves médico-légales et électroniques en matière de VBG. Ces modules seront adaptés à différents niveaux de connaissances et aux spécificités des acteurs cibles.</w:t>
            </w:r>
          </w:p>
          <w:p w14:paraId="33EA93BA" w14:textId="77777777" w:rsidR="00BD66E5" w:rsidRPr="00BD66E5" w:rsidRDefault="00BD66E5" w:rsidP="00BD66E5">
            <w:pPr>
              <w:pStyle w:val="Paragraphedeliste"/>
              <w:rPr>
                <w:sz w:val="22"/>
                <w:szCs w:val="22"/>
                <w:lang w:val="fr-FR"/>
              </w:rPr>
            </w:pPr>
          </w:p>
          <w:p w14:paraId="49321FA9" w14:textId="77777777" w:rsidR="00BD66E5" w:rsidRPr="00BD66E5" w:rsidRDefault="00BD66E5" w:rsidP="00BD66E5">
            <w:pPr>
              <w:pStyle w:val="Paragraphedeliste"/>
              <w:ind w:left="1440"/>
              <w:jc w:val="both"/>
              <w:rPr>
                <w:sz w:val="22"/>
                <w:szCs w:val="22"/>
                <w:lang w:val="fr-FR"/>
              </w:rPr>
            </w:pPr>
          </w:p>
          <w:p w14:paraId="22F56F1D" w14:textId="77777777" w:rsidR="00BD66E5" w:rsidRPr="00BD66E5" w:rsidRDefault="00BD66E5" w:rsidP="00BD66E5">
            <w:pPr>
              <w:pStyle w:val="Paragraphedeliste"/>
              <w:numPr>
                <w:ilvl w:val="0"/>
                <w:numId w:val="14"/>
              </w:numPr>
              <w:spacing w:after="160" w:line="259" w:lineRule="auto"/>
              <w:jc w:val="both"/>
              <w:rPr>
                <w:sz w:val="22"/>
                <w:szCs w:val="22"/>
                <w:lang w:val="fr-FR"/>
              </w:rPr>
            </w:pPr>
            <w:r w:rsidRPr="00BD66E5">
              <w:rPr>
                <w:b/>
                <w:sz w:val="22"/>
                <w:szCs w:val="22"/>
                <w:lang w:val="fr-FR"/>
              </w:rPr>
              <w:t> Des recommandations spécifiques</w:t>
            </w:r>
            <w:r w:rsidRPr="00BD66E5">
              <w:rPr>
                <w:sz w:val="22"/>
                <w:szCs w:val="22"/>
                <w:lang w:val="fr-FR"/>
              </w:rPr>
              <w:t xml:space="preserve"> concernant les besoins en formation pour les acteurs concernés (justice, santé, etc.) seront également fournies : Une analyse des besoins de formation spécifiques à chaque groupe d'acteurs (médecins, enquêteurs, juges, etc.). Ces recommandations incluront des propositions pour la mise en place de programmes de formation adaptés, ainsi que des recommandations pour l'utilisation d'outils et de ressources appropriées.</w:t>
            </w:r>
          </w:p>
          <w:p w14:paraId="3CB46169" w14:textId="77777777" w:rsidR="00BD66E5" w:rsidRPr="00BD66E5" w:rsidRDefault="00BD66E5" w:rsidP="00BD66E5">
            <w:pPr>
              <w:pStyle w:val="Paragraphedeliste"/>
              <w:ind w:left="1440"/>
              <w:jc w:val="both"/>
              <w:rPr>
                <w:sz w:val="22"/>
                <w:szCs w:val="22"/>
                <w:lang w:val="fr-FR"/>
              </w:rPr>
            </w:pPr>
          </w:p>
          <w:p w14:paraId="4E2AD712" w14:textId="74DF3815" w:rsidR="006F5285" w:rsidRPr="00BD66E5" w:rsidRDefault="00BD66E5" w:rsidP="00BD66E5">
            <w:pPr>
              <w:jc w:val="both"/>
              <w:rPr>
                <w:color w:val="000000"/>
                <w:sz w:val="22"/>
                <w:szCs w:val="22"/>
                <w:lang w:val="fr-FR"/>
              </w:rPr>
            </w:pPr>
            <w:r w:rsidRPr="00BD66E5">
              <w:rPr>
                <w:sz w:val="22"/>
                <w:szCs w:val="22"/>
                <w:lang w:val="fr-FR"/>
              </w:rPr>
              <w:t>Le consultant pourra également fournir d'autres livrables au besoin, tels que des présentations, des fiches techniques, des questionnaires ou des documents de soutien. Ces livrables seront adaptés aux besoins spécifiques de l'atelier et aux objectifs de la consultation</w:t>
            </w:r>
            <w:r>
              <w:rPr>
                <w:lang w:val="fr-FR"/>
              </w:rPr>
              <w:t>.</w:t>
            </w:r>
          </w:p>
        </w:tc>
      </w:tr>
      <w:tr w:rsidR="00DB5ACC" w:rsidRPr="00D27D37" w14:paraId="54104A27" w14:textId="77777777" w:rsidTr="002F268A">
        <w:trPr>
          <w:trHeight w:val="1488"/>
        </w:trPr>
        <w:tc>
          <w:tcPr>
            <w:tcW w:w="2730" w:type="dxa"/>
            <w:tcBorders>
              <w:top w:val="single" w:sz="6" w:space="0" w:color="000000"/>
              <w:left w:val="single" w:sz="6" w:space="0" w:color="000000"/>
              <w:bottom w:val="single" w:sz="6" w:space="0" w:color="000000"/>
            </w:tcBorders>
          </w:tcPr>
          <w:p w14:paraId="29C43072" w14:textId="77777777" w:rsidR="00DB5ACC" w:rsidRDefault="00DB5ACC" w:rsidP="0059196A">
            <w:pPr>
              <w:tabs>
                <w:tab w:val="left" w:pos="-720"/>
              </w:tabs>
              <w:spacing w:before="40" w:after="54"/>
            </w:pPr>
            <w:r>
              <w:lastRenderedPageBreak/>
              <w:t>Monitoring and progress control, including reporting requirements, periodicity format and deadline:</w:t>
            </w:r>
          </w:p>
        </w:tc>
        <w:tc>
          <w:tcPr>
            <w:tcW w:w="7710" w:type="dxa"/>
            <w:tcBorders>
              <w:top w:val="single" w:sz="6" w:space="0" w:color="000000"/>
              <w:left w:val="single" w:sz="6" w:space="0" w:color="000000"/>
              <w:bottom w:val="single" w:sz="6" w:space="0" w:color="000000"/>
              <w:right w:val="single" w:sz="6" w:space="0" w:color="000000"/>
            </w:tcBorders>
          </w:tcPr>
          <w:p w14:paraId="66833EE2" w14:textId="77777777" w:rsidR="00DB5ACC" w:rsidRPr="002F268A" w:rsidRDefault="00DB5ACC" w:rsidP="0069755D">
            <w:pPr>
              <w:jc w:val="both"/>
              <w:rPr>
                <w:color w:val="0000FF"/>
                <w:sz w:val="22"/>
                <w:szCs w:val="22"/>
                <w:lang w:val="fr-FR"/>
              </w:rPr>
            </w:pPr>
            <w:r w:rsidRPr="002F268A">
              <w:rPr>
                <w:color w:val="000000"/>
                <w:sz w:val="22"/>
                <w:szCs w:val="22"/>
                <w:lang w:val="fr-FR"/>
              </w:rPr>
              <w:t>Le consultant travaillera en étroite collaboration avec l</w:t>
            </w:r>
            <w:r w:rsidR="002F268A" w:rsidRPr="002F268A">
              <w:rPr>
                <w:color w:val="000000"/>
                <w:sz w:val="22"/>
                <w:szCs w:val="22"/>
                <w:lang w:val="fr-FR"/>
              </w:rPr>
              <w:t>’équipe de l’unité Genre VBG et spécifiquement avec la Coordinatrice ONE STOP C</w:t>
            </w:r>
            <w:r w:rsidRPr="002F268A">
              <w:rPr>
                <w:color w:val="000000"/>
                <w:sz w:val="22"/>
                <w:szCs w:val="22"/>
                <w:lang w:val="fr-FR"/>
              </w:rPr>
              <w:t>e</w:t>
            </w:r>
            <w:r w:rsidR="002F268A" w:rsidRPr="002F268A">
              <w:rPr>
                <w:color w:val="000000"/>
                <w:sz w:val="22"/>
                <w:szCs w:val="22"/>
                <w:lang w:val="fr-FR"/>
              </w:rPr>
              <w:t xml:space="preserve">nter. </w:t>
            </w:r>
            <w:r w:rsidRPr="002F268A">
              <w:rPr>
                <w:color w:val="000000"/>
                <w:sz w:val="22"/>
                <w:szCs w:val="22"/>
                <w:lang w:val="fr-FR"/>
              </w:rPr>
              <w:t>Il est tenu d’ adhérer pleinement aux exigences de UNFPA en matière de redevabilité et de gestion des programmes.</w:t>
            </w:r>
          </w:p>
        </w:tc>
      </w:tr>
      <w:tr w:rsidR="00DB5ACC" w:rsidRPr="00D27D37" w14:paraId="1E1CCA5C" w14:textId="77777777" w:rsidTr="0059196A">
        <w:trPr>
          <w:trHeight w:val="320"/>
        </w:trPr>
        <w:tc>
          <w:tcPr>
            <w:tcW w:w="2730" w:type="dxa"/>
            <w:tcBorders>
              <w:top w:val="single" w:sz="6" w:space="0" w:color="000000"/>
              <w:left w:val="single" w:sz="6" w:space="0" w:color="000000"/>
              <w:bottom w:val="single" w:sz="6" w:space="0" w:color="000000"/>
            </w:tcBorders>
          </w:tcPr>
          <w:p w14:paraId="0FF9A325" w14:textId="77777777" w:rsidR="00DB5ACC" w:rsidRDefault="00DB5ACC" w:rsidP="0059196A">
            <w:pPr>
              <w:tabs>
                <w:tab w:val="left" w:pos="-720"/>
              </w:tabs>
              <w:spacing w:before="40" w:after="54"/>
            </w:pPr>
            <w:r>
              <w:t xml:space="preserve">Supervisory arrangements: </w:t>
            </w:r>
          </w:p>
        </w:tc>
        <w:tc>
          <w:tcPr>
            <w:tcW w:w="7710" w:type="dxa"/>
            <w:tcBorders>
              <w:top w:val="single" w:sz="6" w:space="0" w:color="000000"/>
              <w:left w:val="single" w:sz="6" w:space="0" w:color="000000"/>
              <w:bottom w:val="single" w:sz="6" w:space="0" w:color="000000"/>
              <w:right w:val="single" w:sz="6" w:space="0" w:color="000000"/>
            </w:tcBorders>
          </w:tcPr>
          <w:p w14:paraId="76F48846" w14:textId="77777777" w:rsidR="00DB5ACC" w:rsidRPr="002F268A" w:rsidRDefault="00DB5ACC" w:rsidP="0059196A">
            <w:pPr>
              <w:tabs>
                <w:tab w:val="left" w:pos="-720"/>
              </w:tabs>
              <w:spacing w:before="40" w:after="54"/>
              <w:rPr>
                <w:sz w:val="22"/>
                <w:szCs w:val="22"/>
                <w:highlight w:val="magenta"/>
                <w:lang w:val="fr-FR"/>
              </w:rPr>
            </w:pPr>
            <w:r w:rsidRPr="002F268A">
              <w:rPr>
                <w:sz w:val="22"/>
                <w:szCs w:val="22"/>
                <w:lang w:val="fr-FR"/>
              </w:rPr>
              <w:t>Le consultant travaillera sous la supervision directe de la cheffe de l’unité Genre et VBG</w:t>
            </w:r>
            <w:r w:rsidR="007A1CB1">
              <w:rPr>
                <w:sz w:val="22"/>
                <w:szCs w:val="22"/>
                <w:lang w:val="fr-FR"/>
              </w:rPr>
              <w:t>.</w:t>
            </w:r>
          </w:p>
        </w:tc>
      </w:tr>
      <w:tr w:rsidR="00DB5ACC" w:rsidRPr="00D27D37" w14:paraId="1A6EA7DA" w14:textId="77777777" w:rsidTr="0059196A">
        <w:tc>
          <w:tcPr>
            <w:tcW w:w="2730" w:type="dxa"/>
            <w:tcBorders>
              <w:top w:val="single" w:sz="6" w:space="0" w:color="000000"/>
              <w:left w:val="single" w:sz="6" w:space="0" w:color="000000"/>
              <w:bottom w:val="single" w:sz="6" w:space="0" w:color="000000"/>
            </w:tcBorders>
          </w:tcPr>
          <w:p w14:paraId="518BF8AC" w14:textId="77777777" w:rsidR="00DB5ACC" w:rsidRDefault="00DB5ACC" w:rsidP="0059196A">
            <w:pPr>
              <w:tabs>
                <w:tab w:val="left" w:pos="-720"/>
              </w:tabs>
              <w:spacing w:before="40" w:after="54"/>
            </w:pPr>
            <w:r>
              <w:t>Expected travel:</w:t>
            </w:r>
          </w:p>
        </w:tc>
        <w:tc>
          <w:tcPr>
            <w:tcW w:w="7710" w:type="dxa"/>
            <w:tcBorders>
              <w:top w:val="single" w:sz="6" w:space="0" w:color="000000"/>
              <w:left w:val="single" w:sz="6" w:space="0" w:color="000000"/>
              <w:bottom w:val="single" w:sz="6" w:space="0" w:color="000000"/>
              <w:right w:val="single" w:sz="6" w:space="0" w:color="000000"/>
            </w:tcBorders>
          </w:tcPr>
          <w:p w14:paraId="622AEDDC" w14:textId="10D05DFF" w:rsidR="00BD66E5" w:rsidRPr="00BD66E5" w:rsidRDefault="00BD66E5" w:rsidP="00BD66E5">
            <w:pPr>
              <w:tabs>
                <w:tab w:val="left" w:pos="-720"/>
              </w:tabs>
              <w:spacing w:before="40" w:after="54"/>
              <w:jc w:val="both"/>
              <w:rPr>
                <w:sz w:val="22"/>
                <w:szCs w:val="22"/>
                <w:lang w:val="fr-FR"/>
              </w:rPr>
            </w:pPr>
            <w:r w:rsidRPr="00BD66E5">
              <w:rPr>
                <w:sz w:val="22"/>
                <w:szCs w:val="22"/>
                <w:lang w:val="fr-FR"/>
              </w:rPr>
              <w:t xml:space="preserve">Le consultant durant tout le temps de la consultation, devra effectuer des déplacements, dans le cadre des concertations, réunions en vue </w:t>
            </w:r>
            <w:r>
              <w:rPr>
                <w:sz w:val="22"/>
                <w:szCs w:val="22"/>
                <w:lang w:val="fr-FR"/>
              </w:rPr>
              <w:t>des préparatifs de l’atelier.</w:t>
            </w:r>
          </w:p>
          <w:p w14:paraId="01CFC2BE" w14:textId="23F4024A" w:rsidR="00DB5ACC" w:rsidRPr="00522DBC" w:rsidRDefault="00BD66E5" w:rsidP="00BD66E5">
            <w:pPr>
              <w:tabs>
                <w:tab w:val="left" w:pos="-720"/>
              </w:tabs>
              <w:spacing w:before="40" w:after="54"/>
              <w:jc w:val="both"/>
              <w:rPr>
                <w:sz w:val="22"/>
                <w:szCs w:val="22"/>
                <w:lang w:val="fr-FR"/>
              </w:rPr>
            </w:pPr>
            <w:r w:rsidRPr="00BD66E5">
              <w:rPr>
                <w:sz w:val="22"/>
                <w:szCs w:val="22"/>
                <w:lang w:val="fr-FR"/>
              </w:rPr>
              <w:t>Tous les coûts liés aux déplacements liés au projet seront couverts par UNFPA</w:t>
            </w:r>
            <w:r w:rsidR="00DB5ACC" w:rsidRPr="00522DBC">
              <w:rPr>
                <w:sz w:val="22"/>
                <w:szCs w:val="22"/>
                <w:lang w:val="fr-FR"/>
              </w:rPr>
              <w:t>.</w:t>
            </w:r>
          </w:p>
        </w:tc>
      </w:tr>
      <w:tr w:rsidR="00DB5ACC" w:rsidRPr="00D27D37" w14:paraId="7F67DE45" w14:textId="77777777" w:rsidTr="0059196A">
        <w:tc>
          <w:tcPr>
            <w:tcW w:w="2730" w:type="dxa"/>
            <w:tcBorders>
              <w:top w:val="single" w:sz="6" w:space="0" w:color="000000"/>
              <w:left w:val="single" w:sz="6" w:space="0" w:color="000000"/>
              <w:bottom w:val="single" w:sz="6" w:space="0" w:color="000000"/>
            </w:tcBorders>
          </w:tcPr>
          <w:p w14:paraId="222A0BD9" w14:textId="77777777" w:rsidR="00DB5ACC" w:rsidRPr="00810666" w:rsidRDefault="00DB5ACC" w:rsidP="0059196A">
            <w:pPr>
              <w:tabs>
                <w:tab w:val="left" w:pos="-720"/>
              </w:tabs>
              <w:spacing w:before="40" w:after="54"/>
              <w:rPr>
                <w:lang w:val="en-US"/>
              </w:rPr>
            </w:pPr>
            <w:r w:rsidRPr="00810666">
              <w:rPr>
                <w:lang w:val="en-US"/>
              </w:rPr>
              <w:t>Required expertise, qualifications and competencies, including language requirements:</w:t>
            </w:r>
          </w:p>
        </w:tc>
        <w:tc>
          <w:tcPr>
            <w:tcW w:w="7710" w:type="dxa"/>
            <w:tcBorders>
              <w:top w:val="single" w:sz="6" w:space="0" w:color="000000"/>
              <w:left w:val="single" w:sz="6" w:space="0" w:color="000000"/>
              <w:bottom w:val="single" w:sz="6" w:space="0" w:color="000000"/>
              <w:right w:val="single" w:sz="6" w:space="0" w:color="000000"/>
            </w:tcBorders>
          </w:tcPr>
          <w:p w14:paraId="0853379E" w14:textId="77777777" w:rsidR="00BD66E5" w:rsidRPr="00BD66E5" w:rsidRDefault="00BD66E5" w:rsidP="00BD66E5">
            <w:pPr>
              <w:rPr>
                <w:lang w:val="fr-FR"/>
              </w:rPr>
            </w:pPr>
            <w:r w:rsidRPr="00BD66E5">
              <w:rPr>
                <w:b/>
                <w:u w:val="single"/>
                <w:lang w:val="fr-FR"/>
              </w:rPr>
              <w:t>Qualification requise</w:t>
            </w:r>
            <w:r w:rsidRPr="00BD66E5">
              <w:rPr>
                <w:lang w:val="fr-FR"/>
              </w:rPr>
              <w:t> :</w:t>
            </w:r>
          </w:p>
          <w:p w14:paraId="7B897040" w14:textId="77777777" w:rsidR="00BD66E5" w:rsidRPr="00BD66E5" w:rsidRDefault="00BD66E5" w:rsidP="00BD66E5">
            <w:pPr>
              <w:jc w:val="both"/>
              <w:rPr>
                <w:lang w:val="fr-FR"/>
              </w:rPr>
            </w:pPr>
            <w:r w:rsidRPr="00BD66E5">
              <w:rPr>
                <w:lang w:val="fr-FR"/>
              </w:rPr>
              <w:t>Le consultant doit disposer d’une solide expertise en matière de VBG et de droit pénal, ainsi qu'une connaissance approfondie des procédures médico-légales et des techniques de collecte de preuves électroniques. Une expérience dans le renforcement de capacités est également cruciale.</w:t>
            </w:r>
          </w:p>
          <w:p w14:paraId="62A44EDE" w14:textId="77777777" w:rsidR="00BD66E5" w:rsidRPr="00BD66E5" w:rsidRDefault="00BD66E5" w:rsidP="00BD66E5">
            <w:pPr>
              <w:jc w:val="both"/>
              <w:rPr>
                <w:b/>
                <w:u w:val="single"/>
                <w:lang w:val="fr-FR"/>
              </w:rPr>
            </w:pPr>
            <w:r w:rsidRPr="00BD66E5">
              <w:rPr>
                <w:b/>
                <w:u w:val="single"/>
                <w:lang w:val="fr-FR"/>
              </w:rPr>
              <w:t>Qualifications spécifiques :</w:t>
            </w:r>
          </w:p>
          <w:p w14:paraId="54729228" w14:textId="77777777" w:rsidR="00BD66E5" w:rsidRPr="00BD66E5" w:rsidRDefault="00BD66E5" w:rsidP="00BD66E5">
            <w:pPr>
              <w:jc w:val="both"/>
              <w:rPr>
                <w:lang w:val="fr-FR"/>
              </w:rPr>
            </w:pPr>
            <w:r w:rsidRPr="00BD66E5">
              <w:rPr>
                <w:lang w:val="fr-FR"/>
              </w:rPr>
              <w:t>Expertise en matière de VBG et de droit pénal :</w:t>
            </w:r>
          </w:p>
          <w:p w14:paraId="4A5DFDDE" w14:textId="77777777" w:rsidR="00BD66E5" w:rsidRPr="00BD66E5" w:rsidRDefault="00BD66E5" w:rsidP="00BD66E5">
            <w:pPr>
              <w:jc w:val="both"/>
              <w:rPr>
                <w:lang w:val="fr-FR"/>
              </w:rPr>
            </w:pPr>
            <w:r w:rsidRPr="00BD66E5">
              <w:rPr>
                <w:lang w:val="fr-FR"/>
              </w:rPr>
              <w:t>Une compréhension approfondie des différents types de violences basées sur le genre, des lois et des réglementations en vigueur, ainsi que des mécanismes de justice.</w:t>
            </w:r>
          </w:p>
          <w:p w14:paraId="12E118B9" w14:textId="77777777" w:rsidR="00BD66E5" w:rsidRPr="00BD66E5" w:rsidRDefault="00BD66E5" w:rsidP="00BD66E5">
            <w:pPr>
              <w:jc w:val="both"/>
              <w:rPr>
                <w:lang w:val="fr-FR"/>
              </w:rPr>
            </w:pPr>
            <w:r w:rsidRPr="00BD66E5">
              <w:rPr>
                <w:b/>
                <w:u w:val="single"/>
                <w:lang w:val="fr-FR"/>
              </w:rPr>
              <w:t>Connaissance des preuves médico-légales</w:t>
            </w:r>
            <w:r w:rsidRPr="00BD66E5">
              <w:rPr>
                <w:lang w:val="fr-FR"/>
              </w:rPr>
              <w:t xml:space="preserve"> :</w:t>
            </w:r>
          </w:p>
          <w:p w14:paraId="607E3A56" w14:textId="77777777" w:rsidR="00BD66E5" w:rsidRPr="00BD66E5" w:rsidRDefault="00BD66E5" w:rsidP="00BD66E5">
            <w:pPr>
              <w:jc w:val="both"/>
              <w:rPr>
                <w:lang w:val="fr-FR"/>
              </w:rPr>
            </w:pPr>
            <w:r w:rsidRPr="00BD66E5">
              <w:rPr>
                <w:lang w:val="fr-FR"/>
              </w:rPr>
              <w:t>Une bonne connaissance des procédures médico-légales, des différentes techniques de collecte de preuves, ainsi que des aspects juridiques liés à l'utilisation des preuves médico-légales en justice.</w:t>
            </w:r>
          </w:p>
          <w:p w14:paraId="6590D9DE" w14:textId="77777777" w:rsidR="00BD66E5" w:rsidRPr="0019459C" w:rsidRDefault="00BD66E5" w:rsidP="00BD66E5">
            <w:pPr>
              <w:jc w:val="both"/>
            </w:pPr>
            <w:r w:rsidRPr="000419CA">
              <w:rPr>
                <w:b/>
                <w:u w:val="single"/>
              </w:rPr>
              <w:t>Connaissance des preuves électroniques</w:t>
            </w:r>
            <w:r w:rsidRPr="0019459C">
              <w:t xml:space="preserve"> :</w:t>
            </w:r>
          </w:p>
          <w:p w14:paraId="010317AF" w14:textId="77777777" w:rsidR="00BD66E5" w:rsidRPr="00BD66E5" w:rsidRDefault="00BD66E5" w:rsidP="00BD66E5">
            <w:pPr>
              <w:rPr>
                <w:lang w:val="fr-FR"/>
              </w:rPr>
            </w:pPr>
            <w:r w:rsidRPr="00BD66E5">
              <w:rPr>
                <w:lang w:val="fr-FR"/>
              </w:rPr>
              <w:t>Une expertise dans la collecte, l'analyse et l'interprétation des preuves électroniques (textes, images, vidéos, données de réseaux sociaux, etc.).</w:t>
            </w:r>
          </w:p>
          <w:p w14:paraId="6EB0359D" w14:textId="77777777" w:rsidR="00BD66E5" w:rsidRPr="00BD66E5" w:rsidRDefault="00BD66E5" w:rsidP="00BD66E5">
            <w:pPr>
              <w:rPr>
                <w:b/>
                <w:lang w:val="fr-FR"/>
              </w:rPr>
            </w:pPr>
            <w:r w:rsidRPr="00BD66E5">
              <w:rPr>
                <w:b/>
                <w:u w:val="single"/>
                <w:lang w:val="fr-FR"/>
              </w:rPr>
              <w:t>Expérience dans le renforcement de capacités</w:t>
            </w:r>
            <w:r w:rsidRPr="00BD66E5">
              <w:rPr>
                <w:b/>
                <w:lang w:val="fr-FR"/>
              </w:rPr>
              <w:t xml:space="preserve"> :</w:t>
            </w:r>
          </w:p>
          <w:p w14:paraId="7905CC35" w14:textId="77777777" w:rsidR="00BD66E5" w:rsidRPr="00BD66E5" w:rsidRDefault="00BD66E5" w:rsidP="00BD66E5">
            <w:pPr>
              <w:rPr>
                <w:lang w:val="fr-FR"/>
              </w:rPr>
            </w:pPr>
            <w:r w:rsidRPr="00BD66E5">
              <w:rPr>
                <w:lang w:val="fr-FR"/>
              </w:rPr>
              <w:lastRenderedPageBreak/>
              <w:t>Une expérience avérée dans la conception, la mise en œuvre et l'évaluation d'ateliers de formation, ainsi que dans la transmission de connaissances pratiques.</w:t>
            </w:r>
          </w:p>
          <w:p w14:paraId="6E780284" w14:textId="77777777" w:rsidR="00BD66E5" w:rsidRPr="00BD66E5" w:rsidRDefault="00BD66E5" w:rsidP="00BD66E5">
            <w:pPr>
              <w:rPr>
                <w:b/>
                <w:u w:val="single"/>
                <w:lang w:val="fr-FR"/>
              </w:rPr>
            </w:pPr>
            <w:r w:rsidRPr="00BD66E5">
              <w:rPr>
                <w:b/>
                <w:u w:val="single"/>
                <w:lang w:val="fr-FR"/>
              </w:rPr>
              <w:t>Compétences en communication et en pédagogie :</w:t>
            </w:r>
          </w:p>
          <w:p w14:paraId="0D056623" w14:textId="77777777" w:rsidR="00BD66E5" w:rsidRPr="00BD66E5" w:rsidRDefault="00BD66E5" w:rsidP="00BD66E5">
            <w:pPr>
              <w:rPr>
                <w:lang w:val="fr-FR"/>
              </w:rPr>
            </w:pPr>
            <w:r w:rsidRPr="00BD66E5">
              <w:rPr>
                <w:lang w:val="fr-FR"/>
              </w:rPr>
              <w:t>Une capacité à communiquer efficacement avec des acteurs divers (justice, santé, police, etc.) et à adapter le contenu de l'atelier à leur niveau de connaissances.</w:t>
            </w:r>
          </w:p>
          <w:p w14:paraId="232BFAA6" w14:textId="77777777" w:rsidR="00BD66E5" w:rsidRPr="00BD66E5" w:rsidRDefault="00BD66E5" w:rsidP="00BD66E5">
            <w:pPr>
              <w:rPr>
                <w:lang w:val="fr-FR"/>
              </w:rPr>
            </w:pPr>
            <w:r w:rsidRPr="00BD66E5">
              <w:rPr>
                <w:b/>
                <w:u w:val="single"/>
                <w:lang w:val="fr-FR"/>
              </w:rPr>
              <w:t>Sensibilité culturelle</w:t>
            </w:r>
            <w:r w:rsidRPr="00BD66E5">
              <w:rPr>
                <w:lang w:val="fr-FR"/>
              </w:rPr>
              <w:t xml:space="preserve"> :</w:t>
            </w:r>
          </w:p>
          <w:p w14:paraId="693B730A" w14:textId="77777777" w:rsidR="00BD66E5" w:rsidRPr="00BD66E5" w:rsidRDefault="00BD66E5" w:rsidP="00BD66E5">
            <w:pPr>
              <w:rPr>
                <w:lang w:val="fr-FR"/>
              </w:rPr>
            </w:pPr>
            <w:r w:rsidRPr="00BD66E5">
              <w:rPr>
                <w:lang w:val="fr-FR"/>
              </w:rPr>
              <w:t>Une aptitude à prendre en compte les contextes culturels et sociaux des différents acteurs impliqués.</w:t>
            </w:r>
          </w:p>
          <w:p w14:paraId="28B94470" w14:textId="77777777" w:rsidR="00BD66E5" w:rsidRPr="00BD66E5" w:rsidRDefault="00BD66E5" w:rsidP="00BD66E5">
            <w:pPr>
              <w:rPr>
                <w:b/>
                <w:lang w:val="fr-FR"/>
              </w:rPr>
            </w:pPr>
            <w:r w:rsidRPr="00BD66E5">
              <w:rPr>
                <w:b/>
                <w:u w:val="single"/>
                <w:lang w:val="fr-FR"/>
              </w:rPr>
              <w:t>Connaissance du contexte malien</w:t>
            </w:r>
            <w:r w:rsidRPr="00BD66E5">
              <w:rPr>
                <w:b/>
                <w:lang w:val="fr-FR"/>
              </w:rPr>
              <w:t xml:space="preserve"> :</w:t>
            </w:r>
          </w:p>
          <w:p w14:paraId="46BA980C" w14:textId="2D0F292A" w:rsidR="00DB5ACC" w:rsidRPr="00BD66E5" w:rsidRDefault="00BD66E5" w:rsidP="00BD66E5">
            <w:pPr>
              <w:rPr>
                <w:lang w:val="fr-FR"/>
              </w:rPr>
            </w:pPr>
            <w:r w:rsidRPr="00BD66E5">
              <w:rPr>
                <w:lang w:val="fr-FR"/>
              </w:rPr>
              <w:t>Une connaissance du contexte juridique, social et culturel du Mali est un atout.</w:t>
            </w:r>
          </w:p>
        </w:tc>
      </w:tr>
      <w:tr w:rsidR="00DB5ACC" w14:paraId="5D0EB154" w14:textId="77777777" w:rsidTr="0059196A">
        <w:tc>
          <w:tcPr>
            <w:tcW w:w="2730" w:type="dxa"/>
            <w:tcBorders>
              <w:top w:val="single" w:sz="6" w:space="0" w:color="000000"/>
              <w:left w:val="single" w:sz="6" w:space="0" w:color="000000"/>
              <w:bottom w:val="single" w:sz="6" w:space="0" w:color="000000"/>
            </w:tcBorders>
          </w:tcPr>
          <w:p w14:paraId="4EC6FC12" w14:textId="77777777" w:rsidR="00DB5ACC" w:rsidRDefault="00DB5ACC" w:rsidP="0059196A">
            <w:pPr>
              <w:tabs>
                <w:tab w:val="left" w:pos="-720"/>
              </w:tabs>
              <w:spacing w:before="40" w:after="54"/>
            </w:pPr>
            <w:r>
              <w:lastRenderedPageBreak/>
              <w:t>Inputs / services to be provided by UNFPA or implementing partner (</w:t>
            </w:r>
            <w:r w:rsidR="007A1CB1">
              <w:t>e.g.</w:t>
            </w:r>
            <w:r>
              <w:t xml:space="preserve"> support services, office space, equipment), if applicable:</w:t>
            </w:r>
          </w:p>
        </w:tc>
        <w:tc>
          <w:tcPr>
            <w:tcW w:w="7710" w:type="dxa"/>
            <w:tcBorders>
              <w:top w:val="single" w:sz="6" w:space="0" w:color="000000"/>
              <w:left w:val="single" w:sz="6" w:space="0" w:color="000000"/>
              <w:bottom w:val="single" w:sz="6" w:space="0" w:color="000000"/>
              <w:right w:val="single" w:sz="6" w:space="0" w:color="000000"/>
            </w:tcBorders>
          </w:tcPr>
          <w:p w14:paraId="42C113E2" w14:textId="77777777" w:rsidR="00DB5ACC" w:rsidRPr="00522DBC" w:rsidRDefault="00DB5ACC" w:rsidP="0059196A">
            <w:pPr>
              <w:tabs>
                <w:tab w:val="left" w:pos="-720"/>
              </w:tabs>
              <w:spacing w:before="40" w:after="54"/>
              <w:rPr>
                <w:sz w:val="22"/>
                <w:szCs w:val="22"/>
              </w:rPr>
            </w:pPr>
          </w:p>
          <w:p w14:paraId="04249AAC" w14:textId="77777777" w:rsidR="00DB5ACC" w:rsidRPr="00522DBC" w:rsidRDefault="00DB5ACC" w:rsidP="0059196A">
            <w:pPr>
              <w:tabs>
                <w:tab w:val="left" w:pos="-720"/>
              </w:tabs>
              <w:spacing w:before="40" w:after="54"/>
              <w:rPr>
                <w:sz w:val="22"/>
                <w:szCs w:val="22"/>
              </w:rPr>
            </w:pPr>
            <w:r w:rsidRPr="00522DBC">
              <w:rPr>
                <w:sz w:val="22"/>
                <w:szCs w:val="22"/>
              </w:rPr>
              <w:t>NA</w:t>
            </w:r>
          </w:p>
          <w:p w14:paraId="0B4E7C99" w14:textId="77777777" w:rsidR="00DB5ACC" w:rsidRPr="00522DBC" w:rsidRDefault="00DB5ACC" w:rsidP="0059196A">
            <w:pPr>
              <w:tabs>
                <w:tab w:val="left" w:pos="-720"/>
              </w:tabs>
              <w:spacing w:before="40" w:after="54"/>
              <w:rPr>
                <w:sz w:val="22"/>
                <w:szCs w:val="22"/>
              </w:rPr>
            </w:pPr>
          </w:p>
        </w:tc>
      </w:tr>
      <w:tr w:rsidR="00DB5ACC" w:rsidRPr="00D27D37" w14:paraId="32053074" w14:textId="77777777" w:rsidTr="0059196A">
        <w:tc>
          <w:tcPr>
            <w:tcW w:w="2730" w:type="dxa"/>
            <w:tcBorders>
              <w:top w:val="single" w:sz="6" w:space="0" w:color="000000"/>
              <w:left w:val="single" w:sz="6" w:space="0" w:color="000000"/>
              <w:bottom w:val="single" w:sz="6" w:space="0" w:color="000000"/>
            </w:tcBorders>
          </w:tcPr>
          <w:p w14:paraId="17B5C2C1" w14:textId="77777777" w:rsidR="00DB5ACC" w:rsidRDefault="00DB5ACC" w:rsidP="0059196A">
            <w:pPr>
              <w:tabs>
                <w:tab w:val="left" w:pos="-720"/>
              </w:tabs>
            </w:pPr>
            <w:r>
              <w:t>Other relevant information or special conditions, if any:</w:t>
            </w:r>
          </w:p>
        </w:tc>
        <w:tc>
          <w:tcPr>
            <w:tcW w:w="7710" w:type="dxa"/>
            <w:tcBorders>
              <w:top w:val="single" w:sz="6" w:space="0" w:color="000000"/>
              <w:left w:val="single" w:sz="6" w:space="0" w:color="000000"/>
              <w:bottom w:val="single" w:sz="6" w:space="0" w:color="000000"/>
              <w:right w:val="single" w:sz="6" w:space="0" w:color="000000"/>
            </w:tcBorders>
          </w:tcPr>
          <w:p w14:paraId="32FD146C" w14:textId="77777777" w:rsidR="00DB5ACC" w:rsidRPr="00522DBC" w:rsidRDefault="00DB5ACC" w:rsidP="0059196A">
            <w:pPr>
              <w:tabs>
                <w:tab w:val="left" w:pos="-720"/>
              </w:tabs>
              <w:rPr>
                <w:sz w:val="22"/>
                <w:szCs w:val="22"/>
                <w:lang w:val="fr-FR"/>
              </w:rPr>
            </w:pPr>
            <w:r w:rsidRPr="00522DBC">
              <w:rPr>
                <w:sz w:val="22"/>
                <w:szCs w:val="22"/>
                <w:lang w:val="fr-FR"/>
              </w:rPr>
              <w:t>Il est tenu d’adhérer complètement aux normes et procédures de l’UNFPA.</w:t>
            </w:r>
          </w:p>
        </w:tc>
      </w:tr>
      <w:tr w:rsidR="00DB5ACC" w14:paraId="3E306D69" w14:textId="77777777" w:rsidTr="0059196A">
        <w:tc>
          <w:tcPr>
            <w:tcW w:w="10440" w:type="dxa"/>
            <w:gridSpan w:val="2"/>
            <w:tcBorders>
              <w:top w:val="single" w:sz="4" w:space="0" w:color="000000"/>
              <w:left w:val="single" w:sz="6" w:space="0" w:color="000000"/>
              <w:bottom w:val="single" w:sz="6" w:space="0" w:color="000000"/>
              <w:right w:val="single" w:sz="6" w:space="0" w:color="000000"/>
            </w:tcBorders>
          </w:tcPr>
          <w:p w14:paraId="0C2094FB" w14:textId="77777777" w:rsidR="00DB5ACC" w:rsidRPr="006C1216" w:rsidRDefault="00DB5ACC" w:rsidP="0059196A">
            <w:pPr>
              <w:tabs>
                <w:tab w:val="left" w:pos="-720"/>
              </w:tabs>
              <w:rPr>
                <w:lang w:val="fr-FR"/>
              </w:rPr>
            </w:pPr>
          </w:p>
          <w:p w14:paraId="5900158F" w14:textId="77777777" w:rsidR="00DB5ACC" w:rsidRPr="009021C8" w:rsidRDefault="00DB5ACC" w:rsidP="0059196A">
            <w:pPr>
              <w:tabs>
                <w:tab w:val="left" w:pos="-720"/>
              </w:tabs>
              <w:rPr>
                <w:lang w:val="en-US"/>
              </w:rPr>
            </w:pPr>
            <w:r>
              <w:t xml:space="preserve">Signature of Requesting Officer in Hiring Office: </w:t>
            </w:r>
          </w:p>
          <w:p w14:paraId="7347E783" w14:textId="77777777" w:rsidR="00DB5ACC" w:rsidRDefault="00DB5ACC" w:rsidP="0059196A">
            <w:pPr>
              <w:tabs>
                <w:tab w:val="left" w:pos="-720"/>
              </w:tabs>
            </w:pPr>
          </w:p>
          <w:p w14:paraId="28898141" w14:textId="6B0474A6" w:rsidR="00DB5ACC" w:rsidRDefault="00DB5ACC" w:rsidP="00522DBC">
            <w:pPr>
              <w:tabs>
                <w:tab w:val="left" w:pos="-720"/>
              </w:tabs>
            </w:pPr>
            <w:r>
              <w:t xml:space="preserve">Date: </w:t>
            </w:r>
            <w:r w:rsidR="00BD66E5">
              <w:t>23/05</w:t>
            </w:r>
            <w:r w:rsidR="000C1166">
              <w:t>/2025</w:t>
            </w:r>
          </w:p>
        </w:tc>
      </w:tr>
    </w:tbl>
    <w:p w14:paraId="62E223F8" w14:textId="77777777" w:rsidR="007A1CB1" w:rsidRDefault="007A1CB1" w:rsidP="00DB5ACC"/>
    <w:p w14:paraId="188ABE3B" w14:textId="77777777" w:rsidR="006D62A3" w:rsidRDefault="006D62A3"/>
    <w:sectPr w:rsidR="006D62A3">
      <w:pgSz w:w="11906" w:h="16838"/>
      <w:pgMar w:top="540" w:right="1152" w:bottom="720" w:left="11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F5C"/>
    <w:multiLevelType w:val="multilevel"/>
    <w:tmpl w:val="A11C3D28"/>
    <w:lvl w:ilvl="0">
      <w:numFmt w:val="bullet"/>
      <w:lvlText w:val="-"/>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CF07DA5"/>
    <w:multiLevelType w:val="multilevel"/>
    <w:tmpl w:val="EBFCD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F084C"/>
    <w:multiLevelType w:val="multilevel"/>
    <w:tmpl w:val="10F03E84"/>
    <w:lvl w:ilvl="0">
      <w:numFmt w:val="bullet"/>
      <w:lvlText w:val="-"/>
      <w:lvlJc w:val="left"/>
      <w:pPr>
        <w:ind w:left="1080" w:hanging="360"/>
      </w:pPr>
      <w:rPr>
        <w:rFonts w:ascii="Calibri" w:eastAsia="Calibri"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3F26F44"/>
    <w:multiLevelType w:val="hybridMultilevel"/>
    <w:tmpl w:val="91726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43A9C"/>
    <w:multiLevelType w:val="hybridMultilevel"/>
    <w:tmpl w:val="50BEF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72A0F"/>
    <w:multiLevelType w:val="hybridMultilevel"/>
    <w:tmpl w:val="7F50AE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BA29FC"/>
    <w:multiLevelType w:val="multilevel"/>
    <w:tmpl w:val="B97E86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D525403"/>
    <w:multiLevelType w:val="hybridMultilevel"/>
    <w:tmpl w:val="6FFED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4D63A3A"/>
    <w:multiLevelType w:val="hybridMultilevel"/>
    <w:tmpl w:val="F2E86A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00667"/>
    <w:multiLevelType w:val="multilevel"/>
    <w:tmpl w:val="B112A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D16DB8"/>
    <w:multiLevelType w:val="hybridMultilevel"/>
    <w:tmpl w:val="06646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9A4085"/>
    <w:multiLevelType w:val="multilevel"/>
    <w:tmpl w:val="D9CAA394"/>
    <w:lvl w:ilvl="0">
      <w:start w:val="1"/>
      <w:numFmt w:val="lowerLetter"/>
      <w:lvlText w:val="(%1)"/>
      <w:lvlJc w:val="left"/>
      <w:pPr>
        <w:ind w:left="100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numFmt w:val="bullet"/>
      <w:lvlText w:val="o"/>
      <w:lvlJc w:val="left"/>
      <w:pPr>
        <w:ind w:left="988"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numFmt w:val="bullet"/>
      <w:lvlText w:val="▪"/>
      <w:lvlJc w:val="left"/>
      <w:pPr>
        <w:ind w:left="16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numFmt w:val="bullet"/>
      <w:lvlText w:val="•"/>
      <w:lvlJc w:val="left"/>
      <w:pPr>
        <w:ind w:left="23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numFmt w:val="bullet"/>
      <w:lvlText w:val="o"/>
      <w:lvlJc w:val="left"/>
      <w:pPr>
        <w:ind w:left="311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numFmt w:val="bullet"/>
      <w:lvlText w:val="▪"/>
      <w:lvlJc w:val="left"/>
      <w:pPr>
        <w:ind w:left="383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numFmt w:val="bullet"/>
      <w:lvlText w:val="•"/>
      <w:lvlJc w:val="left"/>
      <w:pPr>
        <w:ind w:left="455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numFmt w:val="bullet"/>
      <w:lvlText w:val="o"/>
      <w:lvlJc w:val="left"/>
      <w:pPr>
        <w:ind w:left="527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numFmt w:val="bullet"/>
      <w:lvlText w:val="▪"/>
      <w:lvlJc w:val="left"/>
      <w:pPr>
        <w:ind w:left="599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5A9D0522"/>
    <w:multiLevelType w:val="hybridMultilevel"/>
    <w:tmpl w:val="FC923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8D71C7"/>
    <w:multiLevelType w:val="multilevel"/>
    <w:tmpl w:val="43DEFD88"/>
    <w:lvl w:ilvl="0">
      <w:numFmt w:val="bullet"/>
      <w:lvlText w:val="-"/>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numFmt w:val="bullet"/>
      <w:lvlText w:val="o"/>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numFmt w:val="bullet"/>
      <w:lvlText w:val="▪"/>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numFmt w:val="bullet"/>
      <w:lvlText w:val="•"/>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numFmt w:val="bullet"/>
      <w:lvlText w:val="o"/>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numFmt w:val="bullet"/>
      <w:lvlText w:val="▪"/>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numFmt w:val="bullet"/>
      <w:lvlText w:val="•"/>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numFmt w:val="bullet"/>
      <w:lvlText w:val="o"/>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numFmt w:val="bullet"/>
      <w:lvlText w:val="▪"/>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5F725F44"/>
    <w:multiLevelType w:val="hybridMultilevel"/>
    <w:tmpl w:val="E95CE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FD4A27"/>
    <w:multiLevelType w:val="hybridMultilevel"/>
    <w:tmpl w:val="FF9ED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5F2911"/>
    <w:multiLevelType w:val="hybridMultilevel"/>
    <w:tmpl w:val="4B1CDEA4"/>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7" w15:restartNumberingAfterBreak="0">
    <w:nsid w:val="7C470950"/>
    <w:multiLevelType w:val="hybridMultilevel"/>
    <w:tmpl w:val="774C346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16cid:durableId="1186672033">
    <w:abstractNumId w:val="6"/>
  </w:num>
  <w:num w:numId="2" w16cid:durableId="1185679556">
    <w:abstractNumId w:val="2"/>
  </w:num>
  <w:num w:numId="3" w16cid:durableId="1508253507">
    <w:abstractNumId w:val="8"/>
  </w:num>
  <w:num w:numId="4" w16cid:durableId="359235348">
    <w:abstractNumId w:val="4"/>
  </w:num>
  <w:num w:numId="5" w16cid:durableId="1012218907">
    <w:abstractNumId w:val="11"/>
  </w:num>
  <w:num w:numId="6" w16cid:durableId="343287415">
    <w:abstractNumId w:val="17"/>
  </w:num>
  <w:num w:numId="7" w16cid:durableId="873152193">
    <w:abstractNumId w:val="16"/>
  </w:num>
  <w:num w:numId="8" w16cid:durableId="850264294">
    <w:abstractNumId w:val="12"/>
  </w:num>
  <w:num w:numId="9" w16cid:durableId="1953659863">
    <w:abstractNumId w:val="14"/>
  </w:num>
  <w:num w:numId="10" w16cid:durableId="51581550">
    <w:abstractNumId w:val="0"/>
  </w:num>
  <w:num w:numId="11" w16cid:durableId="1418821171">
    <w:abstractNumId w:val="5"/>
  </w:num>
  <w:num w:numId="12" w16cid:durableId="587153181">
    <w:abstractNumId w:val="13"/>
  </w:num>
  <w:num w:numId="13" w16cid:durableId="1358702470">
    <w:abstractNumId w:val="3"/>
  </w:num>
  <w:num w:numId="14" w16cid:durableId="1982269384">
    <w:abstractNumId w:val="15"/>
  </w:num>
  <w:num w:numId="15" w16cid:durableId="809246563">
    <w:abstractNumId w:val="10"/>
  </w:num>
  <w:num w:numId="16" w16cid:durableId="401215479">
    <w:abstractNumId w:val="9"/>
    <w:lvlOverride w:ilvl="1">
      <w:lvl w:ilvl="1">
        <w:numFmt w:val="bullet"/>
        <w:lvlText w:val=""/>
        <w:lvlJc w:val="left"/>
        <w:pPr>
          <w:tabs>
            <w:tab w:val="num" w:pos="1440"/>
          </w:tabs>
          <w:ind w:left="1440" w:hanging="360"/>
        </w:pPr>
        <w:rPr>
          <w:rFonts w:ascii="Symbol" w:hAnsi="Symbol" w:hint="default"/>
          <w:sz w:val="20"/>
        </w:rPr>
      </w:lvl>
    </w:lvlOverride>
  </w:num>
  <w:num w:numId="17" w16cid:durableId="1527791987">
    <w:abstractNumId w:val="1"/>
  </w:num>
  <w:num w:numId="18" w16cid:durableId="1570994188">
    <w:abstractNumId w:val="1"/>
    <w:lvlOverride w:ilvl="1">
      <w:lvl w:ilvl="1">
        <w:numFmt w:val="bullet"/>
        <w:lvlText w:val=""/>
        <w:lvlJc w:val="left"/>
        <w:pPr>
          <w:tabs>
            <w:tab w:val="num" w:pos="1440"/>
          </w:tabs>
          <w:ind w:left="1440" w:hanging="360"/>
        </w:pPr>
        <w:rPr>
          <w:rFonts w:ascii="Symbol" w:hAnsi="Symbol" w:hint="default"/>
          <w:sz w:val="20"/>
        </w:rPr>
      </w:lvl>
    </w:lvlOverride>
  </w:num>
  <w:num w:numId="19" w16cid:durableId="1401371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CC"/>
    <w:rsid w:val="000922C4"/>
    <w:rsid w:val="000C1166"/>
    <w:rsid w:val="001C5BA0"/>
    <w:rsid w:val="001D0D18"/>
    <w:rsid w:val="00230EB9"/>
    <w:rsid w:val="002B2810"/>
    <w:rsid w:val="002F268A"/>
    <w:rsid w:val="00343DC5"/>
    <w:rsid w:val="00497307"/>
    <w:rsid w:val="004B6776"/>
    <w:rsid w:val="00522DBC"/>
    <w:rsid w:val="0059196A"/>
    <w:rsid w:val="005B4CDE"/>
    <w:rsid w:val="005E483A"/>
    <w:rsid w:val="00657BFA"/>
    <w:rsid w:val="0069755D"/>
    <w:rsid w:val="006D62A3"/>
    <w:rsid w:val="006F5285"/>
    <w:rsid w:val="007128CF"/>
    <w:rsid w:val="00731BC6"/>
    <w:rsid w:val="007A1CB1"/>
    <w:rsid w:val="007F4120"/>
    <w:rsid w:val="008076E6"/>
    <w:rsid w:val="00810666"/>
    <w:rsid w:val="008B491B"/>
    <w:rsid w:val="008E13E2"/>
    <w:rsid w:val="00902D47"/>
    <w:rsid w:val="009840CD"/>
    <w:rsid w:val="009D7B9D"/>
    <w:rsid w:val="00A06928"/>
    <w:rsid w:val="00A258CF"/>
    <w:rsid w:val="00A507B0"/>
    <w:rsid w:val="00A52003"/>
    <w:rsid w:val="00A6350F"/>
    <w:rsid w:val="00A8258E"/>
    <w:rsid w:val="00A82746"/>
    <w:rsid w:val="00B1798B"/>
    <w:rsid w:val="00B27518"/>
    <w:rsid w:val="00B37EEE"/>
    <w:rsid w:val="00B4638C"/>
    <w:rsid w:val="00BB2DFA"/>
    <w:rsid w:val="00BD66E5"/>
    <w:rsid w:val="00C2404E"/>
    <w:rsid w:val="00C30D9E"/>
    <w:rsid w:val="00C750EA"/>
    <w:rsid w:val="00C86EC1"/>
    <w:rsid w:val="00C94E29"/>
    <w:rsid w:val="00CC4D7A"/>
    <w:rsid w:val="00D05B1C"/>
    <w:rsid w:val="00D27D37"/>
    <w:rsid w:val="00D63A51"/>
    <w:rsid w:val="00DB15CC"/>
    <w:rsid w:val="00DB5ACC"/>
    <w:rsid w:val="00DF394E"/>
    <w:rsid w:val="00E06B9B"/>
    <w:rsid w:val="00E07C99"/>
    <w:rsid w:val="00E30FF8"/>
    <w:rsid w:val="00E37A10"/>
    <w:rsid w:val="00EC4C89"/>
    <w:rsid w:val="00F019EA"/>
    <w:rsid w:val="00F47EB9"/>
    <w:rsid w:val="00FA4ECE"/>
    <w:rsid w:val="00FC38EA"/>
    <w:rsid w:val="00FF1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F8B8"/>
  <w15:chartTrackingRefBased/>
  <w15:docId w15:val="{C587D283-6972-48D3-A6F9-55225DF3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5ACC"/>
    <w:pPr>
      <w:spacing w:after="0" w:line="240" w:lineRule="auto"/>
    </w:pPr>
    <w:rPr>
      <w:rFonts w:ascii="Times New Roman" w:eastAsia="Times New Roman" w:hAnsi="Times New Roman" w:cs="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5E483A"/>
  </w:style>
  <w:style w:type="paragraph" w:customStyle="1" w:styleId="Paragraphedeliste1">
    <w:name w:val="Paragraphe de liste1"/>
    <w:basedOn w:val="Normal"/>
    <w:rsid w:val="005E483A"/>
    <w:pPr>
      <w:suppressAutoHyphens/>
      <w:autoSpaceDN w:val="0"/>
      <w:spacing w:after="4" w:line="256" w:lineRule="auto"/>
      <w:ind w:left="720" w:right="518" w:firstLine="9"/>
      <w:jc w:val="both"/>
      <w:textAlignment w:val="baseline"/>
    </w:pPr>
    <w:rPr>
      <w:rFonts w:ascii="Calibri" w:eastAsia="Calibri" w:hAnsi="Calibri" w:cs="Calibri"/>
      <w:color w:val="000000"/>
      <w:sz w:val="22"/>
      <w:szCs w:val="22"/>
      <w:lang w:val="fr-FR"/>
    </w:rPr>
  </w:style>
  <w:style w:type="paragraph" w:styleId="Paragraphedeliste">
    <w:name w:val="List Paragraph"/>
    <w:basedOn w:val="Normal"/>
    <w:uiPriority w:val="34"/>
    <w:qFormat/>
    <w:rsid w:val="00C2404E"/>
    <w:pPr>
      <w:ind w:left="720"/>
      <w:contextualSpacing/>
    </w:pPr>
  </w:style>
  <w:style w:type="paragraph" w:styleId="Rvision">
    <w:name w:val="Revision"/>
    <w:hidden/>
    <w:uiPriority w:val="99"/>
    <w:semiHidden/>
    <w:rsid w:val="00EC4C89"/>
    <w:pPr>
      <w:spacing w:after="0" w:line="240" w:lineRule="auto"/>
    </w:pPr>
    <w:rPr>
      <w:rFonts w:ascii="Times New Roman" w:eastAsia="Times New Roman" w:hAnsi="Times New Roman" w:cs="Times New Roman"/>
      <w:sz w:val="24"/>
      <w:szCs w:val="24"/>
      <w:lang w:val="en-GB" w:eastAsia="fr-FR"/>
    </w:rPr>
  </w:style>
  <w:style w:type="paragraph" w:styleId="Textedebulles">
    <w:name w:val="Balloon Text"/>
    <w:basedOn w:val="Normal"/>
    <w:link w:val="TextedebullesCar"/>
    <w:uiPriority w:val="99"/>
    <w:semiHidden/>
    <w:unhideWhenUsed/>
    <w:rsid w:val="009840C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40CD"/>
    <w:rPr>
      <w:rFonts w:ascii="Segoe UI" w:eastAsia="Times New Roman" w:hAnsi="Segoe UI" w:cs="Segoe UI"/>
      <w:sz w:val="18"/>
      <w:szCs w:val="18"/>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1714</Words>
  <Characters>9430</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Nana Mouneissa TOURE</dc:creator>
  <cp:keywords/>
  <dc:description/>
  <cp:lastModifiedBy>Hamadoun Sow</cp:lastModifiedBy>
  <cp:revision>2</cp:revision>
  <dcterms:created xsi:type="dcterms:W3CDTF">2025-05-06T16:30:00Z</dcterms:created>
  <dcterms:modified xsi:type="dcterms:W3CDTF">2025-05-06T16:30:00Z</dcterms:modified>
</cp:coreProperties>
</file>