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jc w:val="center"/>
        <w:tblLook w:val="04A0" w:firstRow="1" w:lastRow="0" w:firstColumn="1" w:lastColumn="0" w:noHBand="0" w:noVBand="1"/>
      </w:tblPr>
      <w:tblGrid>
        <w:gridCol w:w="9469"/>
        <w:gridCol w:w="222"/>
      </w:tblGrid>
      <w:tr w:rsidR="00BD0425" w:rsidRPr="00541DEA" w:rsidTr="00042D01">
        <w:trPr>
          <w:trHeight w:val="2122"/>
          <w:jc w:val="center"/>
        </w:trPr>
        <w:tc>
          <w:tcPr>
            <w:tcW w:w="6646" w:type="dxa"/>
            <w:shd w:val="clear" w:color="auto" w:fill="auto"/>
          </w:tcPr>
          <w:tbl>
            <w:tblPr>
              <w:tblpPr w:leftFromText="141" w:rightFromText="141" w:horzAnchor="margin" w:tblpY="-750"/>
              <w:tblOverlap w:val="never"/>
              <w:tblW w:w="9253" w:type="dxa"/>
              <w:tblLook w:val="04A0" w:firstRow="1" w:lastRow="0" w:firstColumn="1" w:lastColumn="0" w:noHBand="0" w:noVBand="1"/>
            </w:tblPr>
            <w:tblGrid>
              <w:gridCol w:w="9031"/>
              <w:gridCol w:w="222"/>
            </w:tblGrid>
            <w:tr w:rsidR="00CD0441" w:rsidRPr="00541DEA" w:rsidTr="00177444">
              <w:trPr>
                <w:trHeight w:val="832"/>
              </w:trPr>
              <w:tc>
                <w:tcPr>
                  <w:tcW w:w="9031" w:type="dxa"/>
                  <w:shd w:val="clear" w:color="auto" w:fill="auto"/>
                </w:tcPr>
                <w:p w:rsidR="00CD0441" w:rsidRPr="00541DEA" w:rsidRDefault="00CD0441" w:rsidP="00CD0441">
                  <w:pPr>
                    <w:widowControl w:val="0"/>
                    <w:autoSpaceDE w:val="0"/>
                    <w:autoSpaceDN w:val="0"/>
                    <w:adjustRightInd w:val="0"/>
                    <w:spacing w:after="0" w:line="240" w:lineRule="auto"/>
                    <w:rPr>
                      <w:rFonts w:eastAsia="Times New Roman" w:cs="Calibri"/>
                    </w:rPr>
                  </w:pPr>
                </w:p>
              </w:tc>
              <w:tc>
                <w:tcPr>
                  <w:tcW w:w="222" w:type="dxa"/>
                  <w:shd w:val="clear" w:color="auto" w:fill="auto"/>
                </w:tcPr>
                <w:p w:rsidR="00CD0441" w:rsidRPr="00541DEA" w:rsidRDefault="00CD0441" w:rsidP="00CD0441">
                  <w:pPr>
                    <w:tabs>
                      <w:tab w:val="center" w:pos="4536"/>
                      <w:tab w:val="right" w:pos="9072"/>
                    </w:tabs>
                    <w:spacing w:after="0" w:line="240" w:lineRule="auto"/>
                    <w:ind w:left="726"/>
                    <w:jc w:val="both"/>
                    <w:rPr>
                      <w:rFonts w:eastAsia="Times New Roman" w:cs="Calibri"/>
                      <w:lang w:val="en-GB"/>
                    </w:rPr>
                  </w:pPr>
                </w:p>
              </w:tc>
            </w:tr>
          </w:tbl>
          <w:p w:rsidR="00BD0425" w:rsidRPr="00541DEA" w:rsidRDefault="00BD0425" w:rsidP="00BC4074">
            <w:pPr>
              <w:rPr>
                <w:rFonts w:cs="Calibri"/>
                <w:color w:val="365F91"/>
              </w:rPr>
            </w:pPr>
          </w:p>
        </w:tc>
        <w:tc>
          <w:tcPr>
            <w:tcW w:w="2925" w:type="dxa"/>
            <w:shd w:val="clear" w:color="auto" w:fill="auto"/>
          </w:tcPr>
          <w:p w:rsidR="00BD0425" w:rsidRPr="00541DEA" w:rsidRDefault="00BD0425" w:rsidP="00BC4074">
            <w:pPr>
              <w:pStyle w:val="Header"/>
              <w:ind w:left="726"/>
              <w:jc w:val="both"/>
              <w:rPr>
                <w:rFonts w:cs="Calibri"/>
              </w:rPr>
            </w:pPr>
          </w:p>
        </w:tc>
      </w:tr>
    </w:tbl>
    <w:tbl>
      <w:tblPr>
        <w:tblpPr w:leftFromText="141" w:rightFromText="141" w:vertAnchor="page" w:horzAnchor="margin" w:tblpY="481"/>
        <w:tblOverlap w:val="never"/>
        <w:tblW w:w="8815" w:type="dxa"/>
        <w:tblLook w:val="04A0" w:firstRow="1" w:lastRow="0" w:firstColumn="1" w:lastColumn="0" w:noHBand="0" w:noVBand="1"/>
      </w:tblPr>
      <w:tblGrid>
        <w:gridCol w:w="6120"/>
        <w:gridCol w:w="2695"/>
      </w:tblGrid>
      <w:tr w:rsidR="0000302A" w:rsidRPr="00541DEA" w:rsidTr="0000302A">
        <w:trPr>
          <w:trHeight w:val="1326"/>
        </w:trPr>
        <w:tc>
          <w:tcPr>
            <w:tcW w:w="6120" w:type="dxa"/>
            <w:shd w:val="clear" w:color="auto" w:fill="auto"/>
          </w:tcPr>
          <w:p w:rsidR="0000302A" w:rsidRPr="00541DEA" w:rsidRDefault="0000302A" w:rsidP="0000302A">
            <w:pPr>
              <w:rPr>
                <w:rFonts w:cs="Calibri"/>
              </w:rPr>
            </w:pPr>
            <w:r w:rsidRPr="00541DEA">
              <w:rPr>
                <w:rFonts w:cs="Calibri"/>
                <w:noProof/>
                <w:sz w:val="28"/>
                <w:szCs w:val="28"/>
                <w:lang w:eastAsia="fr-FR"/>
              </w:rPr>
              <w:drawing>
                <wp:inline distT="0" distB="0" distL="0" distR="0" wp14:anchorId="045E3836" wp14:editId="2D9F2544">
                  <wp:extent cx="1677116" cy="7491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77116" cy="749111"/>
                          </a:xfrm>
                          <a:prstGeom prst="rect">
                            <a:avLst/>
                          </a:prstGeom>
                          <a:noFill/>
                          <a:ln>
                            <a:noFill/>
                          </a:ln>
                        </pic:spPr>
                      </pic:pic>
                    </a:graphicData>
                  </a:graphic>
                </wp:inline>
              </w:drawing>
            </w:r>
          </w:p>
          <w:p w:rsidR="0000302A" w:rsidRPr="00541DEA" w:rsidRDefault="0000302A" w:rsidP="0000302A">
            <w:pPr>
              <w:rPr>
                <w:rFonts w:cs="Calibri"/>
                <w:color w:val="365F91"/>
                <w:sz w:val="18"/>
                <w:szCs w:val="18"/>
              </w:rPr>
            </w:pPr>
          </w:p>
          <w:p w:rsidR="0000302A" w:rsidRPr="00541DEA" w:rsidRDefault="0000302A" w:rsidP="0000302A">
            <w:pPr>
              <w:rPr>
                <w:rFonts w:cs="Calibri"/>
                <w:color w:val="365F91"/>
                <w:sz w:val="18"/>
                <w:szCs w:val="18"/>
              </w:rPr>
            </w:pPr>
            <w:r w:rsidRPr="00541DEA">
              <w:rPr>
                <w:rFonts w:cs="Calibri"/>
                <w:color w:val="365F91"/>
                <w:sz w:val="18"/>
                <w:szCs w:val="18"/>
              </w:rPr>
              <w:t>Fonds des Nations Unies Pour la Population</w:t>
            </w:r>
          </w:p>
        </w:tc>
        <w:tc>
          <w:tcPr>
            <w:tcW w:w="2695" w:type="dxa"/>
            <w:shd w:val="clear" w:color="auto" w:fill="auto"/>
          </w:tcPr>
          <w:p w:rsidR="0000302A" w:rsidRPr="00541DEA" w:rsidRDefault="0000302A" w:rsidP="0000302A">
            <w:pPr>
              <w:pStyle w:val="Header"/>
              <w:jc w:val="both"/>
              <w:rPr>
                <w:rFonts w:cs="Calibri"/>
                <w:color w:val="365F91"/>
                <w:sz w:val="18"/>
                <w:szCs w:val="18"/>
              </w:rPr>
            </w:pPr>
          </w:p>
          <w:p w:rsidR="0000302A" w:rsidRPr="00541DEA" w:rsidRDefault="0000302A" w:rsidP="0000302A">
            <w:pPr>
              <w:pStyle w:val="Header"/>
              <w:jc w:val="both"/>
              <w:rPr>
                <w:rFonts w:cs="Calibri"/>
                <w:color w:val="365F91"/>
                <w:sz w:val="18"/>
                <w:szCs w:val="18"/>
              </w:rPr>
            </w:pPr>
            <w:r w:rsidRPr="00541DEA">
              <w:rPr>
                <w:rFonts w:cs="Calibri"/>
                <w:color w:val="365F91"/>
                <w:sz w:val="18"/>
                <w:szCs w:val="18"/>
              </w:rPr>
              <w:t>United Nations Common House</w:t>
            </w:r>
          </w:p>
          <w:p w:rsidR="0000302A" w:rsidRPr="00541DEA" w:rsidRDefault="0000302A" w:rsidP="0000302A">
            <w:pPr>
              <w:pStyle w:val="Header"/>
              <w:jc w:val="both"/>
              <w:rPr>
                <w:rFonts w:cs="Calibri"/>
                <w:color w:val="365F91"/>
                <w:sz w:val="18"/>
                <w:szCs w:val="18"/>
              </w:rPr>
            </w:pPr>
            <w:r w:rsidRPr="00541DEA">
              <w:rPr>
                <w:rFonts w:cs="Calibri"/>
                <w:color w:val="365F91"/>
                <w:sz w:val="18"/>
                <w:szCs w:val="18"/>
              </w:rPr>
              <w:t>Immeuble MAGANE, Rue 39</w:t>
            </w:r>
          </w:p>
          <w:p w:rsidR="0000302A" w:rsidRPr="00541DEA" w:rsidRDefault="0000302A" w:rsidP="0000302A">
            <w:pPr>
              <w:pStyle w:val="Header"/>
              <w:rPr>
                <w:rFonts w:cs="Calibri"/>
                <w:color w:val="365F91"/>
                <w:sz w:val="18"/>
                <w:szCs w:val="18"/>
              </w:rPr>
            </w:pPr>
            <w:r w:rsidRPr="00541DEA">
              <w:rPr>
                <w:rFonts w:cs="Calibri"/>
                <w:color w:val="365F91"/>
                <w:sz w:val="18"/>
                <w:szCs w:val="18"/>
              </w:rPr>
              <w:t>Badalabougou Est, Lot N02704,</w:t>
            </w:r>
          </w:p>
          <w:p w:rsidR="0000302A" w:rsidRPr="0000302A" w:rsidRDefault="0000302A" w:rsidP="0000302A">
            <w:pPr>
              <w:pStyle w:val="Header"/>
              <w:rPr>
                <w:rFonts w:cs="Calibri"/>
                <w:color w:val="365F91"/>
                <w:sz w:val="18"/>
                <w:szCs w:val="18"/>
              </w:rPr>
            </w:pPr>
            <w:r w:rsidRPr="00541DEA">
              <w:rPr>
                <w:rFonts w:cs="Calibri"/>
                <w:color w:val="365F91"/>
                <w:sz w:val="18"/>
                <w:szCs w:val="18"/>
              </w:rPr>
              <w:t>3</w:t>
            </w:r>
            <w:r w:rsidRPr="00541DEA">
              <w:rPr>
                <w:rFonts w:cs="Calibri"/>
                <w:color w:val="365F91"/>
                <w:sz w:val="18"/>
                <w:szCs w:val="18"/>
                <w:vertAlign w:val="superscript"/>
              </w:rPr>
              <w:t>ème</w:t>
            </w:r>
            <w:r w:rsidRPr="00541DEA">
              <w:rPr>
                <w:rFonts w:cs="Calibri"/>
                <w:color w:val="365F91"/>
                <w:sz w:val="18"/>
                <w:szCs w:val="18"/>
              </w:rPr>
              <w:t xml:space="preserve"> Etage -  </w:t>
            </w:r>
            <w:r>
              <w:rPr>
                <w:rFonts w:cs="Calibri"/>
                <w:color w:val="365F91"/>
                <w:sz w:val="18"/>
                <w:szCs w:val="18"/>
              </w:rPr>
              <w:t>Bamako-Mali</w:t>
            </w:r>
          </w:p>
          <w:p w:rsidR="0000302A" w:rsidRPr="00541DEA" w:rsidRDefault="0000302A" w:rsidP="0000302A">
            <w:pPr>
              <w:pStyle w:val="Header"/>
              <w:jc w:val="both"/>
              <w:rPr>
                <w:rFonts w:cs="Calibri"/>
                <w:color w:val="365F91"/>
                <w:sz w:val="18"/>
                <w:szCs w:val="18"/>
              </w:rPr>
            </w:pPr>
            <w:r w:rsidRPr="00541DEA">
              <w:rPr>
                <w:rFonts w:cs="Calibri"/>
                <w:color w:val="365F91"/>
                <w:sz w:val="18"/>
                <w:szCs w:val="18"/>
              </w:rPr>
              <w:t xml:space="preserve">                </w:t>
            </w:r>
          </w:p>
          <w:p w:rsidR="0000302A" w:rsidRPr="00541DEA" w:rsidRDefault="0000302A" w:rsidP="0000302A">
            <w:pPr>
              <w:pStyle w:val="Header"/>
              <w:ind w:left="726"/>
              <w:jc w:val="both"/>
              <w:rPr>
                <w:rFonts w:cs="Calibri"/>
              </w:rPr>
            </w:pPr>
          </w:p>
        </w:tc>
      </w:tr>
    </w:tbl>
    <w:p w:rsidR="004E7515" w:rsidRPr="00541DEA" w:rsidRDefault="0000302A" w:rsidP="00113183">
      <w:pPr>
        <w:rPr>
          <w:rFonts w:eastAsia="Arial Unicode MS" w:cs="Calibri"/>
          <w:bCs/>
        </w:rPr>
      </w:pPr>
      <w:r>
        <w:rPr>
          <w:rFonts w:eastAsia="Arial Unicode MS" w:cs="Calibri"/>
          <w:bCs/>
        </w:rPr>
        <w:t xml:space="preserve">                                                               </w:t>
      </w:r>
      <w:r w:rsidR="00113183" w:rsidRPr="00541DEA">
        <w:rPr>
          <w:rFonts w:eastAsia="Arial Unicode MS" w:cs="Calibri"/>
          <w:bCs/>
        </w:rPr>
        <w:t xml:space="preserve"> </w:t>
      </w:r>
      <w:r w:rsidR="004E7515" w:rsidRPr="00541DEA">
        <w:rPr>
          <w:rFonts w:eastAsia="Arial Unicode MS" w:cs="Calibri"/>
          <w:bCs/>
        </w:rPr>
        <w:t>UNFPA REPRESENTATION AU MALI</w:t>
      </w:r>
    </w:p>
    <w:p w:rsidR="004E7515" w:rsidRPr="00541DEA" w:rsidRDefault="004E7515">
      <w:pPr>
        <w:jc w:val="center"/>
        <w:rPr>
          <w:rFonts w:cs="Calibri"/>
        </w:rPr>
      </w:pPr>
      <w:r w:rsidRPr="00541DEA">
        <w:rPr>
          <w:rFonts w:cs="Calibri"/>
        </w:rPr>
        <w:t>AVIS DE RECRUTEMENT</w:t>
      </w:r>
    </w:p>
    <w:p w:rsidR="004E7515" w:rsidRPr="00541DEA" w:rsidRDefault="004E7515">
      <w:pPr>
        <w:spacing w:after="0" w:line="240" w:lineRule="auto"/>
        <w:jc w:val="both"/>
        <w:rPr>
          <w:rFonts w:eastAsia="Arial Unicode MS" w:cs="Calibri"/>
          <w:bCs/>
        </w:rPr>
      </w:pPr>
      <w:r w:rsidRPr="00541DEA">
        <w:rPr>
          <w:rFonts w:eastAsia="Arial Unicode MS" w:cs="Calibri"/>
          <w:bCs/>
        </w:rPr>
        <w:t xml:space="preserve">Le Fonds des Nations Unies pour la Population au Mali (UNFPA) veut recruter </w:t>
      </w:r>
      <w:r w:rsidR="00541AD1" w:rsidRPr="00541DEA">
        <w:rPr>
          <w:rFonts w:eastAsia="Arial Unicode MS" w:cs="Calibri"/>
          <w:bCs/>
        </w:rPr>
        <w:t>des</w:t>
      </w:r>
      <w:r w:rsidR="00E47E6E" w:rsidRPr="00541DEA">
        <w:rPr>
          <w:rFonts w:eastAsia="Arial Unicode MS" w:cs="Calibri"/>
          <w:bCs/>
        </w:rPr>
        <w:t xml:space="preserve"> </w:t>
      </w:r>
      <w:r w:rsidR="00541DEA" w:rsidRPr="00541DEA">
        <w:rPr>
          <w:rFonts w:eastAsia="Arial Unicode MS" w:cs="Calibri"/>
          <w:bCs/>
        </w:rPr>
        <w:t>Sages-Femmes communautaire</w:t>
      </w:r>
      <w:r w:rsidR="00981F60">
        <w:rPr>
          <w:rFonts w:eastAsia="Arial Unicode MS" w:cs="Calibri"/>
          <w:bCs/>
        </w:rPr>
        <w:t>s</w:t>
      </w:r>
      <w:r w:rsidR="00541DEA" w:rsidRPr="00541DEA">
        <w:rPr>
          <w:rFonts w:eastAsia="Arial Unicode MS" w:cs="Calibri"/>
          <w:bCs/>
        </w:rPr>
        <w:t xml:space="preserve"> Volontaires Nationaux</w:t>
      </w:r>
      <w:r w:rsidR="003D02F8" w:rsidRPr="00541DEA">
        <w:rPr>
          <w:rFonts w:eastAsia="Arial Unicode MS" w:cs="Calibri"/>
          <w:bCs/>
        </w:rPr>
        <w:t> </w:t>
      </w:r>
      <w:r w:rsidR="00541DEA">
        <w:rPr>
          <w:rFonts w:eastAsia="Arial Unicode MS" w:cs="Calibri"/>
          <w:bCs/>
        </w:rPr>
        <w:t xml:space="preserve">des Nations Unies </w:t>
      </w:r>
      <w:r w:rsidR="003D02F8" w:rsidRPr="00541DEA">
        <w:rPr>
          <w:rFonts w:eastAsia="Arial Unicode MS" w:cs="Calibri"/>
          <w:bCs/>
        </w:rPr>
        <w:t>:</w:t>
      </w:r>
      <w:r w:rsidR="00853C7E" w:rsidRPr="00541DEA">
        <w:rPr>
          <w:rFonts w:eastAsia="Arial Unicode MS" w:cs="Calibri"/>
          <w:bCs/>
        </w:rPr>
        <w:t xml:space="preserve">   </w:t>
      </w:r>
    </w:p>
    <w:p w:rsidR="004E7515" w:rsidRPr="00541DEA" w:rsidRDefault="004E7515">
      <w:pPr>
        <w:spacing w:after="0" w:line="240" w:lineRule="auto"/>
        <w:jc w:val="both"/>
        <w:rPr>
          <w:rFonts w:eastAsia="Arial Unicode MS" w:cs="Calibri"/>
          <w:bCs/>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3070"/>
        <w:gridCol w:w="1137"/>
        <w:gridCol w:w="1268"/>
        <w:gridCol w:w="1272"/>
        <w:gridCol w:w="2414"/>
      </w:tblGrid>
      <w:tr w:rsidR="00476752" w:rsidRPr="00541DEA" w:rsidTr="00EA51AE">
        <w:trPr>
          <w:trHeight w:val="519"/>
        </w:trPr>
        <w:tc>
          <w:tcPr>
            <w:tcW w:w="1076" w:type="dxa"/>
            <w:tcBorders>
              <w:top w:val="single" w:sz="4" w:space="0" w:color="auto"/>
              <w:left w:val="single" w:sz="4" w:space="0" w:color="auto"/>
              <w:bottom w:val="single" w:sz="4" w:space="0" w:color="auto"/>
              <w:right w:val="single" w:sz="4" w:space="0" w:color="auto"/>
            </w:tcBorders>
            <w:hideMark/>
          </w:tcPr>
          <w:p w:rsidR="00FA631D" w:rsidRPr="00541DEA" w:rsidRDefault="00FA631D" w:rsidP="003D02F8">
            <w:pPr>
              <w:spacing w:after="0" w:line="240" w:lineRule="auto"/>
              <w:jc w:val="both"/>
              <w:rPr>
                <w:rFonts w:cs="Calibri"/>
              </w:rPr>
            </w:pPr>
            <w:r w:rsidRPr="00541DEA">
              <w:rPr>
                <w:rFonts w:cs="Calibri"/>
              </w:rPr>
              <w:t xml:space="preserve">Nombre </w:t>
            </w:r>
          </w:p>
        </w:tc>
        <w:tc>
          <w:tcPr>
            <w:tcW w:w="3070" w:type="dxa"/>
            <w:tcBorders>
              <w:top w:val="single" w:sz="4" w:space="0" w:color="auto"/>
              <w:left w:val="single" w:sz="4" w:space="0" w:color="auto"/>
              <w:bottom w:val="single" w:sz="4" w:space="0" w:color="auto"/>
              <w:right w:val="single" w:sz="4" w:space="0" w:color="auto"/>
            </w:tcBorders>
            <w:hideMark/>
          </w:tcPr>
          <w:p w:rsidR="00FA631D" w:rsidRPr="00541DEA" w:rsidRDefault="00FA631D">
            <w:pPr>
              <w:spacing w:after="0" w:line="240" w:lineRule="auto"/>
              <w:jc w:val="both"/>
              <w:rPr>
                <w:rFonts w:cs="Calibri"/>
              </w:rPr>
            </w:pPr>
            <w:r w:rsidRPr="00541DEA">
              <w:rPr>
                <w:rFonts w:cs="Calibri"/>
              </w:rPr>
              <w:t>Intitulé du poste</w:t>
            </w:r>
          </w:p>
        </w:tc>
        <w:tc>
          <w:tcPr>
            <w:tcW w:w="1137" w:type="dxa"/>
            <w:tcBorders>
              <w:top w:val="single" w:sz="4" w:space="0" w:color="auto"/>
              <w:left w:val="single" w:sz="4" w:space="0" w:color="auto"/>
              <w:bottom w:val="single" w:sz="4" w:space="0" w:color="auto"/>
              <w:right w:val="single" w:sz="4" w:space="0" w:color="auto"/>
            </w:tcBorders>
          </w:tcPr>
          <w:p w:rsidR="00FA631D" w:rsidRPr="00541DEA" w:rsidRDefault="00FA631D">
            <w:pPr>
              <w:spacing w:after="0" w:line="240" w:lineRule="auto"/>
              <w:jc w:val="both"/>
              <w:rPr>
                <w:rFonts w:cs="Calibri"/>
              </w:rPr>
            </w:pPr>
            <w:r w:rsidRPr="00541DEA">
              <w:rPr>
                <w:rFonts w:cs="Calibri"/>
              </w:rPr>
              <w:t xml:space="preserve">Type de </w:t>
            </w:r>
            <w:r w:rsidR="00CD0441" w:rsidRPr="00541DEA">
              <w:rPr>
                <w:rFonts w:cs="Calibri"/>
              </w:rPr>
              <w:t xml:space="preserve">    </w:t>
            </w:r>
            <w:r w:rsidRPr="00541DEA">
              <w:rPr>
                <w:rFonts w:cs="Calibri"/>
              </w:rPr>
              <w:t>contrat</w:t>
            </w:r>
          </w:p>
        </w:tc>
        <w:tc>
          <w:tcPr>
            <w:tcW w:w="1268" w:type="dxa"/>
            <w:tcBorders>
              <w:top w:val="single" w:sz="4" w:space="0" w:color="auto"/>
              <w:left w:val="single" w:sz="4" w:space="0" w:color="auto"/>
              <w:bottom w:val="single" w:sz="4" w:space="0" w:color="auto"/>
              <w:right w:val="single" w:sz="4" w:space="0" w:color="auto"/>
            </w:tcBorders>
            <w:hideMark/>
          </w:tcPr>
          <w:p w:rsidR="00FA631D" w:rsidRPr="00541DEA" w:rsidRDefault="00FA631D">
            <w:pPr>
              <w:spacing w:after="0" w:line="240" w:lineRule="auto"/>
              <w:jc w:val="both"/>
              <w:rPr>
                <w:rFonts w:cs="Calibri"/>
              </w:rPr>
            </w:pPr>
            <w:r w:rsidRPr="00541DEA">
              <w:rPr>
                <w:rFonts w:cs="Calibri"/>
              </w:rPr>
              <w:t xml:space="preserve">Grade </w:t>
            </w:r>
          </w:p>
        </w:tc>
        <w:tc>
          <w:tcPr>
            <w:tcW w:w="1272" w:type="dxa"/>
            <w:tcBorders>
              <w:top w:val="single" w:sz="4" w:space="0" w:color="auto"/>
              <w:left w:val="single" w:sz="4" w:space="0" w:color="auto"/>
              <w:bottom w:val="single" w:sz="4" w:space="0" w:color="auto"/>
              <w:right w:val="single" w:sz="4" w:space="0" w:color="auto"/>
            </w:tcBorders>
          </w:tcPr>
          <w:p w:rsidR="00FA631D" w:rsidRPr="00541DEA" w:rsidRDefault="006B79AA">
            <w:pPr>
              <w:spacing w:after="0" w:line="240" w:lineRule="auto"/>
              <w:jc w:val="both"/>
              <w:rPr>
                <w:rFonts w:cs="Calibri"/>
              </w:rPr>
            </w:pPr>
            <w:r w:rsidRPr="00541DEA">
              <w:rPr>
                <w:rFonts w:cs="Calibri"/>
              </w:rPr>
              <w:t>Durée</w:t>
            </w:r>
          </w:p>
        </w:tc>
        <w:tc>
          <w:tcPr>
            <w:tcW w:w="2414" w:type="dxa"/>
            <w:tcBorders>
              <w:top w:val="single" w:sz="4" w:space="0" w:color="auto"/>
              <w:left w:val="single" w:sz="4" w:space="0" w:color="auto"/>
              <w:bottom w:val="single" w:sz="4" w:space="0" w:color="auto"/>
              <w:right w:val="single" w:sz="4" w:space="0" w:color="auto"/>
            </w:tcBorders>
            <w:hideMark/>
          </w:tcPr>
          <w:p w:rsidR="00FA631D" w:rsidRPr="00541DEA" w:rsidRDefault="00FA631D">
            <w:pPr>
              <w:spacing w:after="0" w:line="240" w:lineRule="auto"/>
              <w:jc w:val="both"/>
              <w:rPr>
                <w:rFonts w:cs="Calibri"/>
              </w:rPr>
            </w:pPr>
            <w:r w:rsidRPr="00541DEA">
              <w:rPr>
                <w:rFonts w:cs="Calibri"/>
              </w:rPr>
              <w:t>Localisation</w:t>
            </w:r>
          </w:p>
        </w:tc>
      </w:tr>
      <w:tr w:rsidR="00EA51AE" w:rsidRPr="00476752" w:rsidTr="00EA51AE">
        <w:trPr>
          <w:trHeight w:val="1663"/>
        </w:trPr>
        <w:tc>
          <w:tcPr>
            <w:tcW w:w="1076" w:type="dxa"/>
            <w:tcBorders>
              <w:top w:val="single" w:sz="4" w:space="0" w:color="auto"/>
              <w:left w:val="single" w:sz="4" w:space="0" w:color="auto"/>
              <w:bottom w:val="single" w:sz="4" w:space="0" w:color="auto"/>
              <w:right w:val="single" w:sz="4" w:space="0" w:color="auto"/>
            </w:tcBorders>
          </w:tcPr>
          <w:p w:rsidR="00FA631D" w:rsidRPr="0000302A" w:rsidRDefault="0000302A">
            <w:pPr>
              <w:spacing w:after="0" w:line="240" w:lineRule="auto"/>
              <w:jc w:val="center"/>
              <w:rPr>
                <w:rFonts w:cs="Calibri"/>
                <w:b/>
              </w:rPr>
            </w:pPr>
            <w:r w:rsidRPr="0000302A">
              <w:rPr>
                <w:rFonts w:cs="Calibri"/>
                <w:b/>
              </w:rPr>
              <w:t>49</w:t>
            </w:r>
          </w:p>
        </w:tc>
        <w:tc>
          <w:tcPr>
            <w:tcW w:w="3070" w:type="dxa"/>
            <w:tcBorders>
              <w:top w:val="single" w:sz="4" w:space="0" w:color="auto"/>
              <w:left w:val="single" w:sz="4" w:space="0" w:color="auto"/>
              <w:bottom w:val="single" w:sz="4" w:space="0" w:color="auto"/>
              <w:right w:val="single" w:sz="4" w:space="0" w:color="auto"/>
            </w:tcBorders>
          </w:tcPr>
          <w:p w:rsidR="00FA631D" w:rsidRPr="00541DEA" w:rsidRDefault="00541DEA" w:rsidP="00541DEA">
            <w:pPr>
              <w:spacing w:after="0" w:line="240" w:lineRule="auto"/>
              <w:jc w:val="both"/>
              <w:rPr>
                <w:rFonts w:cs="Calibri"/>
                <w:color w:val="000000"/>
              </w:rPr>
            </w:pPr>
            <w:r>
              <w:rPr>
                <w:rFonts w:cs="Calibri"/>
                <w:color w:val="000000"/>
              </w:rPr>
              <w:t xml:space="preserve">Recrutement de </w:t>
            </w:r>
            <w:r w:rsidR="00476752">
              <w:rPr>
                <w:rFonts w:cs="Calibri"/>
                <w:color w:val="000000"/>
              </w:rPr>
              <w:t xml:space="preserve">sages-femmes </w:t>
            </w:r>
            <w:r>
              <w:rPr>
                <w:rFonts w:cs="Calibri"/>
                <w:color w:val="000000"/>
              </w:rPr>
              <w:t xml:space="preserve">volontaires communautaires </w:t>
            </w:r>
            <w:r w:rsidR="00FA631D" w:rsidRPr="00541DEA">
              <w:rPr>
                <w:rFonts w:cs="Calibri"/>
                <w:color w:val="000000"/>
              </w:rPr>
              <w:t xml:space="preserve"> </w:t>
            </w:r>
            <w:r w:rsidR="00476752">
              <w:rPr>
                <w:rFonts w:cs="Calibri"/>
                <w:color w:val="000000"/>
              </w:rPr>
              <w:t xml:space="preserve">des Nations Unies </w:t>
            </w:r>
          </w:p>
        </w:tc>
        <w:tc>
          <w:tcPr>
            <w:tcW w:w="1137" w:type="dxa"/>
            <w:tcBorders>
              <w:top w:val="single" w:sz="4" w:space="0" w:color="auto"/>
              <w:left w:val="single" w:sz="4" w:space="0" w:color="auto"/>
              <w:bottom w:val="single" w:sz="4" w:space="0" w:color="auto"/>
              <w:right w:val="single" w:sz="4" w:space="0" w:color="auto"/>
            </w:tcBorders>
          </w:tcPr>
          <w:p w:rsidR="00FA631D" w:rsidRPr="00541DEA" w:rsidRDefault="00541DEA">
            <w:pPr>
              <w:spacing w:after="0" w:line="240" w:lineRule="auto"/>
              <w:jc w:val="both"/>
              <w:rPr>
                <w:rFonts w:cs="Calibri"/>
              </w:rPr>
            </w:pPr>
            <w:r>
              <w:rPr>
                <w:rFonts w:cs="Calibri"/>
              </w:rPr>
              <w:t>VNU</w:t>
            </w:r>
          </w:p>
        </w:tc>
        <w:tc>
          <w:tcPr>
            <w:tcW w:w="1268" w:type="dxa"/>
            <w:tcBorders>
              <w:top w:val="single" w:sz="4" w:space="0" w:color="auto"/>
              <w:left w:val="single" w:sz="4" w:space="0" w:color="auto"/>
              <w:bottom w:val="single" w:sz="4" w:space="0" w:color="auto"/>
              <w:right w:val="single" w:sz="4" w:space="0" w:color="auto"/>
            </w:tcBorders>
          </w:tcPr>
          <w:p w:rsidR="00FA631D" w:rsidRPr="00541DEA" w:rsidRDefault="00541DEA">
            <w:pPr>
              <w:spacing w:after="0" w:line="240" w:lineRule="auto"/>
              <w:jc w:val="both"/>
              <w:rPr>
                <w:rFonts w:cs="Calibri"/>
              </w:rPr>
            </w:pPr>
            <w:r>
              <w:rPr>
                <w:rFonts w:cs="Calibri"/>
              </w:rPr>
              <w:t>VNU</w:t>
            </w:r>
          </w:p>
        </w:tc>
        <w:tc>
          <w:tcPr>
            <w:tcW w:w="1272" w:type="dxa"/>
            <w:tcBorders>
              <w:top w:val="single" w:sz="4" w:space="0" w:color="auto"/>
              <w:left w:val="single" w:sz="4" w:space="0" w:color="auto"/>
              <w:bottom w:val="single" w:sz="4" w:space="0" w:color="auto"/>
              <w:right w:val="single" w:sz="4" w:space="0" w:color="auto"/>
            </w:tcBorders>
          </w:tcPr>
          <w:p w:rsidR="00FA631D" w:rsidRPr="00541DEA" w:rsidRDefault="00541DEA">
            <w:pPr>
              <w:spacing w:after="0" w:line="240" w:lineRule="auto"/>
              <w:jc w:val="both"/>
              <w:rPr>
                <w:rFonts w:cs="Calibri"/>
              </w:rPr>
            </w:pPr>
            <w:r>
              <w:rPr>
                <w:rFonts w:cs="Calibri"/>
              </w:rPr>
              <w:t xml:space="preserve">01 ans </w:t>
            </w:r>
          </w:p>
        </w:tc>
        <w:tc>
          <w:tcPr>
            <w:tcW w:w="2414" w:type="dxa"/>
            <w:tcBorders>
              <w:top w:val="single" w:sz="4" w:space="0" w:color="auto"/>
              <w:left w:val="single" w:sz="4" w:space="0" w:color="auto"/>
              <w:bottom w:val="single" w:sz="4" w:space="0" w:color="auto"/>
              <w:right w:val="single" w:sz="4" w:space="0" w:color="auto"/>
            </w:tcBorders>
          </w:tcPr>
          <w:p w:rsidR="00476752" w:rsidRPr="00476752" w:rsidRDefault="00476752" w:rsidP="00476752">
            <w:pPr>
              <w:pStyle w:val="ListParagraph"/>
              <w:numPr>
                <w:ilvl w:val="0"/>
                <w:numId w:val="7"/>
              </w:numPr>
              <w:spacing w:after="0" w:line="240" w:lineRule="auto"/>
              <w:jc w:val="both"/>
              <w:rPr>
                <w:rFonts w:cs="Calibri"/>
                <w:lang w:val="en-US"/>
              </w:rPr>
            </w:pPr>
            <w:bookmarkStart w:id="0" w:name="_GoBack"/>
            <w:r w:rsidRPr="00476752">
              <w:rPr>
                <w:rFonts w:cs="Calibri"/>
                <w:lang w:val="en-US"/>
              </w:rPr>
              <w:t xml:space="preserve">Koulikoro, </w:t>
            </w:r>
          </w:p>
          <w:p w:rsidR="00476752" w:rsidRPr="00476752" w:rsidRDefault="00476752" w:rsidP="00476752">
            <w:pPr>
              <w:pStyle w:val="ListParagraph"/>
              <w:numPr>
                <w:ilvl w:val="0"/>
                <w:numId w:val="7"/>
              </w:numPr>
              <w:spacing w:after="0" w:line="240" w:lineRule="auto"/>
              <w:jc w:val="both"/>
              <w:rPr>
                <w:rFonts w:cs="Calibri"/>
                <w:lang w:val="en-US"/>
              </w:rPr>
            </w:pPr>
            <w:r w:rsidRPr="00476752">
              <w:rPr>
                <w:rFonts w:cs="Calibri"/>
                <w:lang w:val="en-US"/>
              </w:rPr>
              <w:t xml:space="preserve">Sikasso, </w:t>
            </w:r>
          </w:p>
          <w:p w:rsidR="00476752" w:rsidRPr="00476752" w:rsidRDefault="00476752" w:rsidP="00476752">
            <w:pPr>
              <w:pStyle w:val="ListParagraph"/>
              <w:numPr>
                <w:ilvl w:val="0"/>
                <w:numId w:val="7"/>
              </w:numPr>
              <w:spacing w:after="0" w:line="240" w:lineRule="auto"/>
              <w:jc w:val="both"/>
              <w:rPr>
                <w:rFonts w:cs="Calibri"/>
                <w:lang w:val="en-US"/>
              </w:rPr>
            </w:pPr>
            <w:r w:rsidRPr="00476752">
              <w:rPr>
                <w:rFonts w:cs="Calibri"/>
                <w:lang w:val="en-US"/>
              </w:rPr>
              <w:t>Segou,</w:t>
            </w:r>
          </w:p>
          <w:p w:rsidR="00476752" w:rsidRPr="00476752" w:rsidRDefault="00476752" w:rsidP="00476752">
            <w:pPr>
              <w:pStyle w:val="ListParagraph"/>
              <w:numPr>
                <w:ilvl w:val="0"/>
                <w:numId w:val="7"/>
              </w:numPr>
              <w:spacing w:after="0" w:line="240" w:lineRule="auto"/>
              <w:jc w:val="both"/>
              <w:rPr>
                <w:rFonts w:cs="Calibri"/>
                <w:lang w:val="en-US"/>
              </w:rPr>
            </w:pPr>
            <w:r w:rsidRPr="00476752">
              <w:rPr>
                <w:rFonts w:cs="Calibri"/>
                <w:lang w:val="en-US"/>
              </w:rPr>
              <w:t>Gao,</w:t>
            </w:r>
          </w:p>
          <w:p w:rsidR="00476752" w:rsidRPr="00476752" w:rsidRDefault="00476752" w:rsidP="00476752">
            <w:pPr>
              <w:pStyle w:val="ListParagraph"/>
              <w:numPr>
                <w:ilvl w:val="0"/>
                <w:numId w:val="7"/>
              </w:numPr>
              <w:spacing w:after="0" w:line="240" w:lineRule="auto"/>
              <w:jc w:val="both"/>
              <w:rPr>
                <w:rFonts w:cs="Calibri"/>
                <w:lang w:val="en-US"/>
              </w:rPr>
            </w:pPr>
            <w:r w:rsidRPr="00476752">
              <w:rPr>
                <w:rFonts w:cs="Calibri"/>
                <w:lang w:val="en-US"/>
              </w:rPr>
              <w:t>Tombouctou,</w:t>
            </w:r>
          </w:p>
          <w:p w:rsidR="00FA631D" w:rsidRPr="00476752" w:rsidRDefault="00476752" w:rsidP="00476752">
            <w:pPr>
              <w:pStyle w:val="ListParagraph"/>
              <w:numPr>
                <w:ilvl w:val="0"/>
                <w:numId w:val="7"/>
              </w:numPr>
              <w:spacing w:after="0" w:line="240" w:lineRule="auto"/>
              <w:jc w:val="both"/>
              <w:rPr>
                <w:rFonts w:cs="Calibri"/>
                <w:lang w:val="en-US"/>
              </w:rPr>
            </w:pPr>
            <w:r w:rsidRPr="00476752">
              <w:rPr>
                <w:rFonts w:cs="Calibri"/>
                <w:lang w:val="en-US"/>
              </w:rPr>
              <w:t>Mopti.</w:t>
            </w:r>
            <w:bookmarkEnd w:id="0"/>
          </w:p>
        </w:tc>
      </w:tr>
    </w:tbl>
    <w:p w:rsidR="004E7515" w:rsidRPr="00476752" w:rsidRDefault="004E7515">
      <w:pPr>
        <w:spacing w:after="0" w:line="240" w:lineRule="auto"/>
        <w:jc w:val="both"/>
        <w:rPr>
          <w:rFonts w:cs="Calibri"/>
          <w:lang w:val="en-US"/>
        </w:rPr>
      </w:pPr>
    </w:p>
    <w:p w:rsidR="00113183" w:rsidRPr="00541DEA" w:rsidRDefault="00D8653E" w:rsidP="00FB42CD">
      <w:pPr>
        <w:jc w:val="both"/>
        <w:rPr>
          <w:rFonts w:cs="Calibri"/>
        </w:rPr>
      </w:pPr>
      <w:r w:rsidRPr="00D8653E">
        <w:rPr>
          <w:rFonts w:cs="Calibri"/>
        </w:rPr>
        <w:t>L</w:t>
      </w:r>
      <w:r w:rsidR="00FB42CD" w:rsidRPr="00541DEA">
        <w:rPr>
          <w:rFonts w:cs="Calibri"/>
        </w:rPr>
        <w:t xml:space="preserve">es TDRs sont disponible sur le site UNFPA Mali à l’adresse suivante: </w:t>
      </w:r>
      <w:hyperlink r:id="rId9" w:history="1">
        <w:r w:rsidR="00FB42CD" w:rsidRPr="00541DEA">
          <w:rPr>
            <w:rStyle w:val="Hyperlink"/>
            <w:rFonts w:cs="Calibri"/>
          </w:rPr>
          <w:t>http://mali.unfpa.org</w:t>
        </w:r>
      </w:hyperlink>
      <w:r>
        <w:rPr>
          <w:rStyle w:val="Hyperlink"/>
          <w:rFonts w:cs="Calibri"/>
        </w:rPr>
        <w:t xml:space="preserve"> ou auprès de l’ordre des Sages-femmes</w:t>
      </w:r>
    </w:p>
    <w:p w:rsidR="00FB42CD" w:rsidRPr="00541DEA" w:rsidRDefault="00FB42CD" w:rsidP="00FB42CD">
      <w:pPr>
        <w:jc w:val="both"/>
        <w:rPr>
          <w:rFonts w:cs="Calibri"/>
        </w:rPr>
      </w:pPr>
      <w:r w:rsidRPr="00541DEA">
        <w:rPr>
          <w:rFonts w:cs="Calibri"/>
        </w:rPr>
        <w:t>Composition du dossier de candidature :</w:t>
      </w:r>
    </w:p>
    <w:p w:rsidR="00440BEB" w:rsidRDefault="00440BEB" w:rsidP="00440BEB">
      <w:pPr>
        <w:pStyle w:val="NoSpacing"/>
        <w:numPr>
          <w:ilvl w:val="0"/>
          <w:numId w:val="12"/>
        </w:numPr>
        <w:rPr>
          <w:sz w:val="24"/>
          <w:szCs w:val="24"/>
        </w:rPr>
      </w:pPr>
      <w:r w:rsidRPr="00EC6650">
        <w:rPr>
          <w:sz w:val="24"/>
          <w:szCs w:val="24"/>
        </w:rPr>
        <w:t xml:space="preserve">Un curriculum vitae détaillé mentionnant clairement les résultats obtenus aux postes antérieurement occupés, et avec indication des noms, adresses et contacts téléphoniques valides de trois personnes de référence pouvant attester des qualités professionnelles de la candidate ; </w:t>
      </w:r>
    </w:p>
    <w:p w:rsidR="00440BEB" w:rsidRDefault="00440BEB" w:rsidP="00440BEB">
      <w:pPr>
        <w:pStyle w:val="NoSpacing"/>
        <w:numPr>
          <w:ilvl w:val="0"/>
          <w:numId w:val="12"/>
        </w:numPr>
        <w:rPr>
          <w:sz w:val="24"/>
          <w:szCs w:val="24"/>
        </w:rPr>
      </w:pPr>
      <w:r w:rsidRPr="00EC6650">
        <w:rPr>
          <w:sz w:val="24"/>
          <w:szCs w:val="24"/>
        </w:rPr>
        <w:t xml:space="preserve">Les copies des diplômes ; les copies des certificats/attestations de travail et ou de stage; </w:t>
      </w:r>
    </w:p>
    <w:p w:rsidR="00440BEB" w:rsidRDefault="00440BEB" w:rsidP="00440BEB">
      <w:pPr>
        <w:pStyle w:val="NoSpacing"/>
        <w:numPr>
          <w:ilvl w:val="0"/>
          <w:numId w:val="12"/>
        </w:numPr>
        <w:rPr>
          <w:sz w:val="24"/>
          <w:szCs w:val="24"/>
        </w:rPr>
      </w:pPr>
      <w:r w:rsidRPr="00EC6650">
        <w:rPr>
          <w:sz w:val="24"/>
          <w:szCs w:val="24"/>
        </w:rPr>
        <w:t xml:space="preserve">Les copies de l'extrait d'acte de naissance ou de jugement supplétif en tenant lieu, </w:t>
      </w:r>
    </w:p>
    <w:p w:rsidR="00440BEB" w:rsidRPr="00EC6650" w:rsidRDefault="00440BEB" w:rsidP="00440BEB">
      <w:pPr>
        <w:pStyle w:val="NoSpacing"/>
        <w:numPr>
          <w:ilvl w:val="0"/>
          <w:numId w:val="12"/>
        </w:numPr>
        <w:rPr>
          <w:sz w:val="24"/>
          <w:szCs w:val="24"/>
        </w:rPr>
      </w:pPr>
      <w:r>
        <w:rPr>
          <w:sz w:val="24"/>
          <w:szCs w:val="24"/>
        </w:rPr>
        <w:t>La copie de la pièce d’identité Nationale ou carte NINA.</w:t>
      </w:r>
    </w:p>
    <w:p w:rsidR="00476752" w:rsidRPr="00476752" w:rsidRDefault="00476752" w:rsidP="00476752">
      <w:pPr>
        <w:pStyle w:val="ListParagraph"/>
        <w:spacing w:after="0" w:line="240" w:lineRule="auto"/>
        <w:jc w:val="both"/>
        <w:rPr>
          <w:rFonts w:eastAsia="Times New Roman" w:cs="Calibri"/>
          <w:i/>
          <w:sz w:val="24"/>
          <w:szCs w:val="24"/>
          <w:lang w:eastAsia="fr-FR"/>
          <w14:shadow w14:blurRad="38036" w14:dist="18745" w14:dir="2700000" w14:sx="100000" w14:sy="100000" w14:kx="0" w14:ky="0" w14:algn="b">
            <w14:srgbClr w14:val="000000"/>
          </w14:shadow>
        </w:rPr>
      </w:pPr>
    </w:p>
    <w:p w:rsidR="00FB42CD" w:rsidRPr="00541DEA" w:rsidRDefault="00FB42CD" w:rsidP="00FB42CD">
      <w:pPr>
        <w:pStyle w:val="ListParagraph"/>
        <w:ind w:left="-60"/>
        <w:jc w:val="both"/>
        <w:rPr>
          <w:rFonts w:cs="Calibri"/>
          <w:bCs/>
        </w:rPr>
      </w:pPr>
      <w:r w:rsidRPr="00541DEA">
        <w:rPr>
          <w:rFonts w:cs="Calibri"/>
          <w:bCs/>
        </w:rPr>
        <w:t xml:space="preserve">Les candidatures sont </w:t>
      </w:r>
      <w:r w:rsidRPr="00541DEA">
        <w:rPr>
          <w:rFonts w:cs="Calibri"/>
          <w:bCs/>
          <w:color w:val="000000"/>
        </w:rPr>
        <w:t>soumises</w:t>
      </w:r>
      <w:r w:rsidRPr="00541DEA">
        <w:rPr>
          <w:rFonts w:cs="Calibri"/>
          <w:bCs/>
        </w:rPr>
        <w:t xml:space="preserve"> en ligne</w:t>
      </w:r>
      <w:r w:rsidR="00A63EC8" w:rsidRPr="00541DEA">
        <w:rPr>
          <w:rFonts w:cs="Calibri"/>
        </w:rPr>
        <w:t xml:space="preserve"> </w:t>
      </w:r>
      <w:r w:rsidR="00A63EC8" w:rsidRPr="00541DEA">
        <w:rPr>
          <w:rFonts w:cs="Calibri"/>
          <w:bCs/>
        </w:rPr>
        <w:t>en spécifiant le titre de la position pour laquelle vous postulez</w:t>
      </w:r>
      <w:r w:rsidRPr="00541DEA">
        <w:rPr>
          <w:rFonts w:cs="Calibri"/>
          <w:bCs/>
        </w:rPr>
        <w:t xml:space="preserve"> à travers le lien ci-dessous :</w:t>
      </w:r>
    </w:p>
    <w:p w:rsidR="00541DEA" w:rsidRDefault="004B6EAE" w:rsidP="00541DEA">
      <w:pPr>
        <w:pStyle w:val="ListParagraph"/>
        <w:ind w:left="-60"/>
        <w:jc w:val="both"/>
        <w:rPr>
          <w:rStyle w:val="Hyperlink"/>
          <w:rFonts w:cs="Calibri"/>
          <w:bCs/>
          <w:u w:val="none"/>
        </w:rPr>
      </w:pPr>
      <w:hyperlink r:id="rId10" w:history="1">
        <w:r w:rsidR="00FB42CD" w:rsidRPr="00541DEA">
          <w:rPr>
            <w:rStyle w:val="Hyperlink"/>
            <w:rFonts w:cs="Calibri"/>
            <w:bCs/>
            <w:u w:val="none"/>
          </w:rPr>
          <w:t>mailto:recrutement.mali@unfpa.org</w:t>
        </w:r>
      </w:hyperlink>
      <w:r w:rsidR="00A63EC8" w:rsidRPr="00541DEA">
        <w:rPr>
          <w:rStyle w:val="Hyperlink"/>
          <w:rFonts w:cs="Calibri"/>
          <w:bCs/>
          <w:u w:val="none"/>
        </w:rPr>
        <w:t> </w:t>
      </w:r>
      <w:r w:rsidR="00541DEA">
        <w:rPr>
          <w:rStyle w:val="Hyperlink"/>
          <w:rFonts w:cs="Calibri"/>
          <w:bCs/>
          <w:u w:val="none"/>
        </w:rPr>
        <w:t xml:space="preserve"> ou au bureau </w:t>
      </w:r>
      <w:r w:rsidR="00541DEA" w:rsidRPr="00541DEA">
        <w:rPr>
          <w:rStyle w:val="Hyperlink"/>
          <w:rFonts w:cs="Calibri"/>
          <w:bCs/>
          <w:u w:val="none"/>
        </w:rPr>
        <w:t>UNFPA à Bamako</w:t>
      </w:r>
      <w:r w:rsidR="00541DEA">
        <w:rPr>
          <w:rStyle w:val="Hyperlink"/>
          <w:rFonts w:cs="Calibri"/>
          <w:bCs/>
          <w:u w:val="none"/>
        </w:rPr>
        <w:t xml:space="preserve"> sis à Badalabougou EST Bâtiment commun des Nations Unies</w:t>
      </w:r>
      <w:r w:rsidR="00476752">
        <w:rPr>
          <w:rStyle w:val="Hyperlink"/>
          <w:rFonts w:cs="Calibri"/>
          <w:bCs/>
          <w:u w:val="none"/>
        </w:rPr>
        <w:t xml:space="preserve"> ou </w:t>
      </w:r>
      <w:r w:rsidR="00541DEA" w:rsidRPr="00541DEA">
        <w:rPr>
          <w:rStyle w:val="Hyperlink"/>
          <w:rFonts w:cs="Calibri"/>
          <w:bCs/>
          <w:u w:val="none"/>
        </w:rPr>
        <w:t xml:space="preserve"> dans les régions</w:t>
      </w:r>
      <w:r w:rsidR="00CF7D6C">
        <w:rPr>
          <w:rStyle w:val="Hyperlink"/>
          <w:rFonts w:cs="Calibri"/>
          <w:bCs/>
          <w:u w:val="none"/>
        </w:rPr>
        <w:t xml:space="preserve"> auprès des</w:t>
      </w:r>
      <w:r w:rsidR="00476752">
        <w:rPr>
          <w:rStyle w:val="Hyperlink"/>
          <w:rFonts w:cs="Calibri"/>
          <w:bCs/>
          <w:u w:val="none"/>
        </w:rPr>
        <w:t> :</w:t>
      </w:r>
    </w:p>
    <w:p w:rsidR="00476752" w:rsidRPr="00EC6650" w:rsidRDefault="00476752" w:rsidP="00476752">
      <w:pPr>
        <w:pStyle w:val="NoSpacing"/>
        <w:numPr>
          <w:ilvl w:val="0"/>
          <w:numId w:val="8"/>
        </w:numPr>
        <w:rPr>
          <w:sz w:val="24"/>
          <w:szCs w:val="24"/>
        </w:rPr>
      </w:pPr>
      <w:r w:rsidRPr="00EC6650">
        <w:rPr>
          <w:sz w:val="24"/>
          <w:szCs w:val="24"/>
        </w:rPr>
        <w:lastRenderedPageBreak/>
        <w:t xml:space="preserve">Bureau régional de l’ordre des sages-femmes de Koulikoro, </w:t>
      </w:r>
    </w:p>
    <w:p w:rsidR="00476752" w:rsidRPr="00EC6650" w:rsidRDefault="00476752" w:rsidP="00476752">
      <w:pPr>
        <w:pStyle w:val="NoSpacing"/>
        <w:numPr>
          <w:ilvl w:val="0"/>
          <w:numId w:val="8"/>
        </w:numPr>
        <w:rPr>
          <w:sz w:val="24"/>
          <w:szCs w:val="24"/>
        </w:rPr>
      </w:pPr>
      <w:r w:rsidRPr="00EC6650">
        <w:rPr>
          <w:sz w:val="24"/>
          <w:szCs w:val="24"/>
        </w:rPr>
        <w:t xml:space="preserve">Bureau régional de l’ordre des sages-femmes de Sikasso, </w:t>
      </w:r>
    </w:p>
    <w:p w:rsidR="00476752" w:rsidRPr="00EC6650" w:rsidRDefault="00476752" w:rsidP="00476752">
      <w:pPr>
        <w:pStyle w:val="NoSpacing"/>
        <w:numPr>
          <w:ilvl w:val="0"/>
          <w:numId w:val="8"/>
        </w:numPr>
        <w:rPr>
          <w:sz w:val="24"/>
          <w:szCs w:val="24"/>
        </w:rPr>
      </w:pPr>
      <w:r w:rsidRPr="00EC6650">
        <w:rPr>
          <w:sz w:val="24"/>
          <w:szCs w:val="24"/>
        </w:rPr>
        <w:t xml:space="preserve">Bureau régional de l’ordre des sages-femmes de Ségou, </w:t>
      </w:r>
    </w:p>
    <w:p w:rsidR="00476752" w:rsidRPr="00EC6650" w:rsidRDefault="00476752" w:rsidP="00476752">
      <w:pPr>
        <w:pStyle w:val="NoSpacing"/>
        <w:numPr>
          <w:ilvl w:val="0"/>
          <w:numId w:val="8"/>
        </w:numPr>
        <w:rPr>
          <w:sz w:val="24"/>
          <w:szCs w:val="24"/>
        </w:rPr>
      </w:pPr>
      <w:r w:rsidRPr="00EC6650">
        <w:rPr>
          <w:sz w:val="24"/>
          <w:szCs w:val="24"/>
        </w:rPr>
        <w:t>Bureau régional de l’ordre des sages-femmes de Mopti,</w:t>
      </w:r>
    </w:p>
    <w:p w:rsidR="00476752" w:rsidRPr="00EC6650" w:rsidRDefault="00476752" w:rsidP="00476752">
      <w:pPr>
        <w:pStyle w:val="NoSpacing"/>
        <w:numPr>
          <w:ilvl w:val="0"/>
          <w:numId w:val="8"/>
        </w:numPr>
        <w:rPr>
          <w:sz w:val="24"/>
          <w:szCs w:val="24"/>
        </w:rPr>
      </w:pPr>
      <w:r w:rsidRPr="00EC6650">
        <w:rPr>
          <w:sz w:val="24"/>
          <w:szCs w:val="24"/>
        </w:rPr>
        <w:t xml:space="preserve">Bureau régional de l’ordre des sages-femmes de Tombouctou </w:t>
      </w:r>
    </w:p>
    <w:p w:rsidR="00476752" w:rsidRPr="008B18B2" w:rsidRDefault="00476752" w:rsidP="008B18B2">
      <w:pPr>
        <w:pStyle w:val="NoSpacing"/>
        <w:numPr>
          <w:ilvl w:val="0"/>
          <w:numId w:val="8"/>
        </w:numPr>
        <w:rPr>
          <w:rStyle w:val="Hyperlink"/>
          <w:color w:val="auto"/>
          <w:sz w:val="24"/>
          <w:szCs w:val="24"/>
          <w:u w:val="none"/>
        </w:rPr>
      </w:pPr>
      <w:r w:rsidRPr="00EC6650">
        <w:rPr>
          <w:sz w:val="24"/>
          <w:szCs w:val="24"/>
        </w:rPr>
        <w:t xml:space="preserve">Bureau régional de l’ordre des sages-femmes de </w:t>
      </w:r>
      <w:r w:rsidR="0000302A">
        <w:rPr>
          <w:sz w:val="24"/>
          <w:szCs w:val="24"/>
        </w:rPr>
        <w:t>Gao.</w:t>
      </w:r>
    </w:p>
    <w:p w:rsidR="004E7515" w:rsidRPr="00541DEA" w:rsidRDefault="004E7515" w:rsidP="00541DEA">
      <w:pPr>
        <w:pStyle w:val="ListParagraph"/>
        <w:ind w:left="-60"/>
        <w:jc w:val="both"/>
        <w:rPr>
          <w:rFonts w:cs="Calibri"/>
        </w:rPr>
      </w:pPr>
      <w:r w:rsidRPr="00541DEA">
        <w:rPr>
          <w:rFonts w:cs="Calibri"/>
        </w:rPr>
        <w:t>Le dernier délai pour le dépôt des candidatures est fixé au</w:t>
      </w:r>
      <w:r w:rsidR="0079000D" w:rsidRPr="00541DEA">
        <w:rPr>
          <w:rFonts w:cs="Calibri"/>
        </w:rPr>
        <w:t xml:space="preserve"> </w:t>
      </w:r>
      <w:r w:rsidR="00F53618">
        <w:rPr>
          <w:rFonts w:cs="Calibri"/>
        </w:rPr>
        <w:t>Lundi 04</w:t>
      </w:r>
      <w:r w:rsidR="00ED6645">
        <w:rPr>
          <w:rFonts w:cs="Calibri"/>
        </w:rPr>
        <w:t xml:space="preserve"> </w:t>
      </w:r>
      <w:r w:rsidR="009A4A74">
        <w:rPr>
          <w:rFonts w:cs="Calibri"/>
        </w:rPr>
        <w:t xml:space="preserve">Mai </w:t>
      </w:r>
      <w:r w:rsidR="009A4A74" w:rsidRPr="00541DEA">
        <w:rPr>
          <w:rFonts w:cs="Calibri"/>
        </w:rPr>
        <w:t>2020</w:t>
      </w:r>
      <w:r w:rsidR="00F53618">
        <w:rPr>
          <w:rFonts w:cs="Calibri"/>
        </w:rPr>
        <w:t xml:space="preserve"> à 17</w:t>
      </w:r>
      <w:r w:rsidR="0079000D" w:rsidRPr="00541DEA">
        <w:rPr>
          <w:rFonts w:cs="Calibri"/>
        </w:rPr>
        <w:t> :00 AM</w:t>
      </w:r>
      <w:r w:rsidR="00A51C83">
        <w:rPr>
          <w:rFonts w:cs="Calibri"/>
        </w:rPr>
        <w:t>, heure du Mali</w:t>
      </w:r>
      <w:r w:rsidR="00CD0441" w:rsidRPr="00541DEA">
        <w:rPr>
          <w:rFonts w:cs="Calibri"/>
        </w:rPr>
        <w:t>.</w:t>
      </w:r>
    </w:p>
    <w:p w:rsidR="00530B9D" w:rsidRPr="00476752" w:rsidRDefault="006B79AA" w:rsidP="003912DC">
      <w:pPr>
        <w:pStyle w:val="ListParagraph"/>
        <w:numPr>
          <w:ilvl w:val="0"/>
          <w:numId w:val="10"/>
        </w:numPr>
        <w:shd w:val="clear" w:color="auto" w:fill="FFFFFF"/>
        <w:spacing w:after="0" w:line="240" w:lineRule="auto"/>
        <w:rPr>
          <w:rFonts w:cs="Calibri"/>
        </w:rPr>
      </w:pPr>
      <w:r w:rsidRPr="00476752">
        <w:rPr>
          <w:rFonts w:cs="Calibri"/>
        </w:rPr>
        <w:t>Les candidatures féminines sont fortement recommandées.</w:t>
      </w:r>
    </w:p>
    <w:p w:rsidR="006B79AA" w:rsidRPr="00476752" w:rsidRDefault="006B79AA" w:rsidP="003912DC">
      <w:pPr>
        <w:pStyle w:val="ListParagraph"/>
        <w:numPr>
          <w:ilvl w:val="0"/>
          <w:numId w:val="10"/>
        </w:numPr>
        <w:shd w:val="clear" w:color="auto" w:fill="FFFFFF"/>
        <w:spacing w:after="0" w:line="240" w:lineRule="auto"/>
        <w:rPr>
          <w:rFonts w:cs="Calibri"/>
        </w:rPr>
      </w:pPr>
      <w:r w:rsidRPr="00476752">
        <w:rPr>
          <w:rFonts w:cs="Calibri"/>
        </w:rPr>
        <w:t>Seuls sont invités à postuler les candidats résidents au Mali</w:t>
      </w:r>
      <w:r w:rsidR="00E47E6E" w:rsidRPr="00476752">
        <w:rPr>
          <w:rFonts w:cs="Calibri"/>
        </w:rPr>
        <w:t>.</w:t>
      </w:r>
    </w:p>
    <w:p w:rsidR="003912DC" w:rsidRPr="003912DC" w:rsidRDefault="003912DC" w:rsidP="003912DC">
      <w:pPr>
        <w:pStyle w:val="NoSpacing"/>
        <w:numPr>
          <w:ilvl w:val="0"/>
          <w:numId w:val="10"/>
        </w:numPr>
        <w:rPr>
          <w:sz w:val="24"/>
          <w:szCs w:val="24"/>
        </w:rPr>
      </w:pPr>
      <w:r w:rsidRPr="00EC6650">
        <w:rPr>
          <w:sz w:val="24"/>
          <w:szCs w:val="24"/>
        </w:rPr>
        <w:t>Le salaire sera déterminé sur la base de la grille de rémunération applicable au volontaires communautaires du Système des Nations Unies recruté localement</w:t>
      </w:r>
      <w:r>
        <w:rPr>
          <w:sz w:val="24"/>
          <w:szCs w:val="24"/>
        </w:rPr>
        <w:t>.</w:t>
      </w:r>
    </w:p>
    <w:p w:rsidR="003912DC" w:rsidRPr="003912DC" w:rsidRDefault="003912DC" w:rsidP="003912DC">
      <w:pPr>
        <w:pStyle w:val="NoSpacing"/>
        <w:numPr>
          <w:ilvl w:val="0"/>
          <w:numId w:val="10"/>
        </w:numPr>
        <w:rPr>
          <w:sz w:val="24"/>
          <w:szCs w:val="24"/>
        </w:rPr>
      </w:pPr>
      <w:r w:rsidRPr="00EC6650">
        <w:rPr>
          <w:sz w:val="24"/>
          <w:szCs w:val="24"/>
        </w:rPr>
        <w:t>Tout dossier incomplet sera rejeté. Tout dossier transmis ne peut plus être retiré. Seules les candidates présélectionnées seront contactées</w:t>
      </w:r>
    </w:p>
    <w:p w:rsidR="00541DEA" w:rsidRPr="00541DEA" w:rsidRDefault="00541DEA" w:rsidP="00476752">
      <w:pPr>
        <w:pStyle w:val="ListParagraph"/>
        <w:rPr>
          <w:rFonts w:ascii="Times New Roman" w:hAnsi="Times New Roman"/>
          <w:sz w:val="24"/>
          <w:szCs w:val="24"/>
        </w:rPr>
      </w:pPr>
    </w:p>
    <w:p w:rsidR="004E7515" w:rsidRPr="00541DEA" w:rsidRDefault="004E7515">
      <w:pPr>
        <w:jc w:val="both"/>
        <w:rPr>
          <w:rFonts w:cs="Calibri"/>
        </w:rPr>
      </w:pPr>
      <w:r w:rsidRPr="00541DEA">
        <w:rPr>
          <w:rFonts w:cs="Calibri"/>
        </w:rPr>
        <w:t>Publication</w:t>
      </w:r>
      <w:r w:rsidR="00E47E6E" w:rsidRPr="00541DEA">
        <w:rPr>
          <w:rFonts w:cs="Calibri"/>
        </w:rPr>
        <w:t xml:space="preserve"> autorisée par le Représentant Résident</w:t>
      </w:r>
      <w:r w:rsidRPr="00541DEA">
        <w:rPr>
          <w:rFonts w:cs="Calibri"/>
        </w:rPr>
        <w:t xml:space="preserve"> de l’UNFPA au Mali.</w:t>
      </w:r>
    </w:p>
    <w:sectPr w:rsidR="004E7515" w:rsidRPr="00541DE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EAE" w:rsidRDefault="004B6EAE">
      <w:pPr>
        <w:spacing w:after="0" w:line="240" w:lineRule="auto"/>
      </w:pPr>
      <w:r>
        <w:separator/>
      </w:r>
    </w:p>
  </w:endnote>
  <w:endnote w:type="continuationSeparator" w:id="0">
    <w:p w:rsidR="004B6EAE" w:rsidRDefault="004B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EAE" w:rsidRDefault="004B6EAE">
      <w:pPr>
        <w:spacing w:after="0" w:line="240" w:lineRule="auto"/>
      </w:pPr>
      <w:r>
        <w:separator/>
      </w:r>
    </w:p>
  </w:footnote>
  <w:footnote w:type="continuationSeparator" w:id="0">
    <w:p w:rsidR="004B6EAE" w:rsidRDefault="004B6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515" w:rsidRDefault="004E751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D771"/>
      </v:shape>
    </w:pict>
  </w:numPicBullet>
  <w:abstractNum w:abstractNumId="0" w15:restartNumberingAfterBreak="0">
    <w:nsid w:val="0D702251"/>
    <w:multiLevelType w:val="hybridMultilevel"/>
    <w:tmpl w:val="807E09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D537AB5"/>
    <w:multiLevelType w:val="hybridMultilevel"/>
    <w:tmpl w:val="ADB47786"/>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F5928FC"/>
    <w:multiLevelType w:val="hybridMultilevel"/>
    <w:tmpl w:val="F98C08D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2F9F1DFF"/>
    <w:multiLevelType w:val="hybridMultilevel"/>
    <w:tmpl w:val="F5C654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BBE1650"/>
    <w:multiLevelType w:val="hybridMultilevel"/>
    <w:tmpl w:val="3D6CC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1E121D"/>
    <w:multiLevelType w:val="hybridMultilevel"/>
    <w:tmpl w:val="12E8B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CD3401"/>
    <w:multiLevelType w:val="hybridMultilevel"/>
    <w:tmpl w:val="7BFA8A6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341F19"/>
    <w:multiLevelType w:val="hybridMultilevel"/>
    <w:tmpl w:val="73781E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C74F90"/>
    <w:multiLevelType w:val="hybridMultilevel"/>
    <w:tmpl w:val="157A58C8"/>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C1E7DA1"/>
    <w:multiLevelType w:val="hybridMultilevel"/>
    <w:tmpl w:val="CE843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4"/>
  </w:num>
  <w:num w:numId="6">
    <w:abstractNumId w:val="5"/>
  </w:num>
  <w:num w:numId="7">
    <w:abstractNumId w:val="9"/>
  </w:num>
  <w:num w:numId="8">
    <w:abstractNumId w:val="8"/>
  </w:num>
  <w:num w:numId="9">
    <w:abstractNumId w:val="6"/>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82"/>
    <w:rsid w:val="0000302A"/>
    <w:rsid w:val="00042D01"/>
    <w:rsid w:val="00073FD5"/>
    <w:rsid w:val="000F4302"/>
    <w:rsid w:val="00113183"/>
    <w:rsid w:val="00177444"/>
    <w:rsid w:val="002246A4"/>
    <w:rsid w:val="00231546"/>
    <w:rsid w:val="00237604"/>
    <w:rsid w:val="00320160"/>
    <w:rsid w:val="003227AC"/>
    <w:rsid w:val="00363864"/>
    <w:rsid w:val="003912DC"/>
    <w:rsid w:val="003D02F8"/>
    <w:rsid w:val="00431313"/>
    <w:rsid w:val="00440BEB"/>
    <w:rsid w:val="00476752"/>
    <w:rsid w:val="004B6EAE"/>
    <w:rsid w:val="004E7515"/>
    <w:rsid w:val="005077EB"/>
    <w:rsid w:val="00512FE9"/>
    <w:rsid w:val="005264BA"/>
    <w:rsid w:val="00526AE8"/>
    <w:rsid w:val="00530B9D"/>
    <w:rsid w:val="00532AD6"/>
    <w:rsid w:val="00541AD1"/>
    <w:rsid w:val="00541DEA"/>
    <w:rsid w:val="005F2D82"/>
    <w:rsid w:val="006153CF"/>
    <w:rsid w:val="00655771"/>
    <w:rsid w:val="006B79AA"/>
    <w:rsid w:val="006D06C2"/>
    <w:rsid w:val="00700BE8"/>
    <w:rsid w:val="0070517B"/>
    <w:rsid w:val="0079000D"/>
    <w:rsid w:val="007C783C"/>
    <w:rsid w:val="00805965"/>
    <w:rsid w:val="008116F9"/>
    <w:rsid w:val="008420A5"/>
    <w:rsid w:val="00853C7E"/>
    <w:rsid w:val="008B057F"/>
    <w:rsid w:val="008B1850"/>
    <w:rsid w:val="008B18B2"/>
    <w:rsid w:val="00903BB9"/>
    <w:rsid w:val="00924480"/>
    <w:rsid w:val="00981F60"/>
    <w:rsid w:val="009A4A74"/>
    <w:rsid w:val="00A05E43"/>
    <w:rsid w:val="00A35A80"/>
    <w:rsid w:val="00A51C83"/>
    <w:rsid w:val="00A63EC8"/>
    <w:rsid w:val="00AF301F"/>
    <w:rsid w:val="00B91387"/>
    <w:rsid w:val="00BA4A59"/>
    <w:rsid w:val="00BB7CA6"/>
    <w:rsid w:val="00BD0425"/>
    <w:rsid w:val="00C23901"/>
    <w:rsid w:val="00CA091C"/>
    <w:rsid w:val="00CD0441"/>
    <w:rsid w:val="00CF7D6C"/>
    <w:rsid w:val="00D0217D"/>
    <w:rsid w:val="00D34F4A"/>
    <w:rsid w:val="00D8653E"/>
    <w:rsid w:val="00E207AF"/>
    <w:rsid w:val="00E47E6E"/>
    <w:rsid w:val="00E532F4"/>
    <w:rsid w:val="00E579ED"/>
    <w:rsid w:val="00E64C50"/>
    <w:rsid w:val="00EA3ABD"/>
    <w:rsid w:val="00EA51AE"/>
    <w:rsid w:val="00ED6645"/>
    <w:rsid w:val="00ED6779"/>
    <w:rsid w:val="00EE66AC"/>
    <w:rsid w:val="00F158A5"/>
    <w:rsid w:val="00F35E72"/>
    <w:rsid w:val="00F53618"/>
    <w:rsid w:val="00FA631D"/>
    <w:rsid w:val="00FB42CD"/>
    <w:rsid w:val="00FE59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18A1F"/>
  <w15:chartTrackingRefBased/>
  <w15:docId w15:val="{FFF750F5-7872-4E32-8D82-0E44C5B3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sz w:val="24"/>
      <w:szCs w:val="24"/>
      <w:lang w:eastAsia="fr-FR"/>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locked/>
    <w:rPr>
      <w:sz w:val="22"/>
      <w:szCs w:val="22"/>
      <w:lang w:val="fr-FR"/>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locked/>
    <w:rPr>
      <w:sz w:val="22"/>
      <w:szCs w:val="22"/>
      <w:lang w:val="fr-FR"/>
    </w:rPr>
  </w:style>
  <w:style w:type="paragraph" w:styleId="BodyTextIndent">
    <w:name w:val="Body Text Indent"/>
    <w:basedOn w:val="Normal"/>
    <w:link w:val="BodyTextIndentChar"/>
    <w:semiHidden/>
    <w:unhideWhenUsed/>
    <w:pPr>
      <w:spacing w:after="120" w:line="240" w:lineRule="auto"/>
      <w:ind w:left="283"/>
    </w:pPr>
    <w:rPr>
      <w:rFonts w:ascii="Times New Roman" w:eastAsia="Batang" w:hAnsi="Times New Roman"/>
      <w:sz w:val="24"/>
      <w:szCs w:val="24"/>
      <w:lang w:eastAsia="ko-KR"/>
    </w:rPr>
  </w:style>
  <w:style w:type="character" w:customStyle="1" w:styleId="BodyTextIndentChar">
    <w:name w:val="Body Text Indent Char"/>
    <w:link w:val="BodyTextIndent"/>
    <w:semiHidden/>
    <w:locked/>
    <w:rPr>
      <w:rFonts w:ascii="Times New Roman" w:eastAsia="Batang" w:hAnsi="Times New Roman" w:cs="Times New Roman" w:hint="default"/>
      <w:sz w:val="24"/>
      <w:szCs w:val="24"/>
      <w:lang w:eastAsia="ko-KR"/>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6752"/>
    <w:pPr>
      <w:suppressAutoHyphens/>
      <w:autoSpaceDN w:val="0"/>
      <w:textAlignment w:val="baseline"/>
    </w:pPr>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tement.mali@unfpa.org" TargetMode="External"/><Relationship Id="rId4" Type="http://schemas.openxmlformats.org/officeDocument/2006/relationships/settings" Target="settings.xml"/><Relationship Id="rId9" Type="http://schemas.openxmlformats.org/officeDocument/2006/relationships/hyperlink" Target="http://mali.unfp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FPA\Downloads\AVIS%20VACANCE%20DE%20POSTE%20Spotlight%202%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CADA-C402-44B6-98F2-C0AE3AC7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AVIS VACANCE DE POSTE Spotlight 2 (3)</Template>
  <TotalTime>0</TotalTime>
  <Pages>2</Pages>
  <Words>410</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Links>
    <vt:vector size="24" baseType="variant">
      <vt:variant>
        <vt:i4>393295</vt:i4>
      </vt:variant>
      <vt:variant>
        <vt:i4>9</vt:i4>
      </vt:variant>
      <vt:variant>
        <vt:i4>0</vt:i4>
      </vt:variant>
      <vt:variant>
        <vt:i4>5</vt:i4>
      </vt:variant>
      <vt:variant>
        <vt:lpwstr>https://www.unfpa.org/jobs/national-post-monitoring-and-evaluation-specialist-european-union-spotlight-initiative-bamako</vt:lpwstr>
      </vt:variant>
      <vt:variant>
        <vt:lpwstr/>
      </vt:variant>
      <vt:variant>
        <vt:i4>1245270</vt:i4>
      </vt:variant>
      <vt:variant>
        <vt:i4>6</vt:i4>
      </vt:variant>
      <vt:variant>
        <vt:i4>0</vt:i4>
      </vt:variant>
      <vt:variant>
        <vt:i4>5</vt:i4>
      </vt:variant>
      <vt:variant>
        <vt:lpwstr>https://www.unfpa.org/jobs/national-post-finance-associate-european-union-spotlight-initiative-bamako-mali-g6</vt:lpwstr>
      </vt:variant>
      <vt:variant>
        <vt:lpwstr/>
      </vt:variant>
      <vt:variant>
        <vt:i4>2949241</vt:i4>
      </vt:variant>
      <vt:variant>
        <vt:i4>3</vt:i4>
      </vt:variant>
      <vt:variant>
        <vt:i4>0</vt:i4>
      </vt:variant>
      <vt:variant>
        <vt:i4>5</vt:i4>
      </vt:variant>
      <vt:variant>
        <vt:lpwstr>https://www.unfpa.org/jobs/national-post-gender-and-gbv-specialist-european-union-spotlight-initiative-bamako-mali-noc</vt:lpwstr>
      </vt:variant>
      <vt:variant>
        <vt:lpwstr/>
      </vt:variant>
      <vt:variant>
        <vt:i4>6881403</vt:i4>
      </vt:variant>
      <vt:variant>
        <vt:i4>0</vt:i4>
      </vt:variant>
      <vt:variant>
        <vt:i4>0</vt:i4>
      </vt:variant>
      <vt:variant>
        <vt:i4>5</vt:i4>
      </vt:variant>
      <vt:variant>
        <vt:lpwstr>http://mali.unfpa.org/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UNFPA</dc:creator>
  <cp:keywords/>
  <dc:description/>
  <cp:lastModifiedBy>INVITE</cp:lastModifiedBy>
  <cp:revision>2</cp:revision>
  <cp:lastPrinted>2020-02-03T10:27:00Z</cp:lastPrinted>
  <dcterms:created xsi:type="dcterms:W3CDTF">2020-04-24T13:49:00Z</dcterms:created>
  <dcterms:modified xsi:type="dcterms:W3CDTF">2020-04-24T13:49:00Z</dcterms:modified>
</cp:coreProperties>
</file>