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FB" w:rsidRDefault="001325FB" w:rsidP="001325FB">
      <w:pPr>
        <w:tabs>
          <w:tab w:val="left" w:pos="-180"/>
          <w:tab w:val="right" w:pos="1980"/>
          <w:tab w:val="left" w:pos="2160"/>
          <w:tab w:val="left" w:pos="4320"/>
        </w:tabs>
        <w:spacing w:line="223" w:lineRule="exact"/>
        <w:ind w:hanging="720"/>
        <w:jc w:val="both"/>
        <w:rPr>
          <w:b/>
          <w:sz w:val="22"/>
          <w:szCs w:val="22"/>
        </w:rPr>
      </w:pPr>
      <w:bookmarkStart w:id="0" w:name="_GoBack"/>
      <w:bookmarkEnd w:id="0"/>
    </w:p>
    <w:p w:rsidR="001325FB" w:rsidRDefault="001325FB" w:rsidP="001325FB">
      <w:pPr>
        <w:spacing w:line="223" w:lineRule="exact"/>
        <w:ind w:right="-1260"/>
        <w:jc w:val="both"/>
        <w:rPr>
          <w:rFonts w:ascii="Calibri" w:hAnsi="Calibr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  <w:shd w:val="clear" w:color="auto" w:fill="FFFF00"/>
        </w:rPr>
        <w:t xml:space="preserve">  </w:t>
      </w:r>
      <w:r w:rsidR="000C1894">
        <w:rPr>
          <w:b/>
          <w:sz w:val="22"/>
          <w:szCs w:val="22"/>
          <w:shd w:val="clear" w:color="auto" w:fill="FFFF00"/>
        </w:rPr>
        <w:t>13 Août</w:t>
      </w:r>
      <w:r>
        <w:rPr>
          <w:b/>
          <w:sz w:val="22"/>
          <w:szCs w:val="22"/>
          <w:shd w:val="clear" w:color="auto" w:fill="FFFF00"/>
        </w:rPr>
        <w:t xml:space="preserve"> 2020</w:t>
      </w:r>
      <w:r>
        <w:rPr>
          <w:b/>
          <w:sz w:val="22"/>
          <w:szCs w:val="22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A929E4" w:rsidRDefault="00A929E4" w:rsidP="001325FB">
      <w:pPr>
        <w:spacing w:line="223" w:lineRule="exact"/>
        <w:ind w:right="-1260"/>
        <w:jc w:val="both"/>
      </w:pPr>
    </w:p>
    <w:p w:rsidR="008348B2" w:rsidRDefault="001325FB" w:rsidP="001325FB">
      <w:pPr>
        <w:pStyle w:val="Caption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Avis de Recrutement d’un cabinet </w:t>
      </w:r>
      <w:r w:rsidR="001605BC">
        <w:rPr>
          <w:rFonts w:ascii="Calibri" w:hAnsi="Calibri" w:cs="Calibri"/>
          <w:sz w:val="26"/>
          <w:szCs w:val="26"/>
        </w:rPr>
        <w:t xml:space="preserve">ou </w:t>
      </w:r>
      <w:r w:rsidR="008348B2">
        <w:rPr>
          <w:rFonts w:ascii="Calibri" w:hAnsi="Calibri" w:cs="Calibri"/>
          <w:sz w:val="26"/>
          <w:szCs w:val="26"/>
        </w:rPr>
        <w:t>d’</w:t>
      </w:r>
      <w:r w:rsidR="001605BC">
        <w:rPr>
          <w:rFonts w:ascii="Calibri" w:hAnsi="Calibri" w:cs="Calibri"/>
          <w:sz w:val="26"/>
          <w:szCs w:val="26"/>
        </w:rPr>
        <w:t xml:space="preserve">un </w:t>
      </w:r>
      <w:proofErr w:type="gramStart"/>
      <w:r w:rsidR="001605BC">
        <w:rPr>
          <w:rFonts w:ascii="Calibri" w:hAnsi="Calibri" w:cs="Calibri"/>
          <w:sz w:val="26"/>
          <w:szCs w:val="26"/>
        </w:rPr>
        <w:t xml:space="preserve">Consultant </w:t>
      </w:r>
      <w:r>
        <w:rPr>
          <w:rFonts w:ascii="Calibri" w:hAnsi="Calibri" w:cs="Calibri"/>
          <w:sz w:val="26"/>
          <w:szCs w:val="26"/>
        </w:rPr>
        <w:t xml:space="preserve"> pour</w:t>
      </w:r>
      <w:proofErr w:type="gramEnd"/>
      <w:r w:rsidR="008348B2">
        <w:rPr>
          <w:rFonts w:ascii="Calibri" w:hAnsi="Calibri" w:cs="Calibri"/>
          <w:sz w:val="26"/>
          <w:szCs w:val="26"/>
        </w:rPr>
        <w:t xml:space="preserve"> le </w:t>
      </w:r>
      <w:r>
        <w:rPr>
          <w:rFonts w:ascii="Calibri" w:hAnsi="Calibri" w:cs="Calibri"/>
          <w:sz w:val="26"/>
          <w:szCs w:val="26"/>
        </w:rPr>
        <w:t>«</w:t>
      </w:r>
      <w:r w:rsidR="000C1894">
        <w:rPr>
          <w:rFonts w:ascii="Calibri" w:hAnsi="Calibri" w:cs="Calibri"/>
          <w:sz w:val="26"/>
          <w:szCs w:val="26"/>
        </w:rPr>
        <w:t xml:space="preserve">Renforcement des Capacités des Staffs de Laboratoire du </w:t>
      </w:r>
      <w:r w:rsidR="0088663E">
        <w:rPr>
          <w:rFonts w:ascii="Calibri" w:hAnsi="Calibri" w:cs="Calibri"/>
          <w:sz w:val="26"/>
          <w:szCs w:val="26"/>
        </w:rPr>
        <w:t xml:space="preserve">One Stop Center du CSREF de la CV </w:t>
      </w:r>
    </w:p>
    <w:p w:rsidR="001325FB" w:rsidRDefault="0088663E" w:rsidP="001325FB">
      <w:pPr>
        <w:pStyle w:val="Caption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du</w:t>
      </w:r>
      <w:proofErr w:type="gramEnd"/>
      <w:r>
        <w:rPr>
          <w:rFonts w:ascii="Calibri" w:hAnsi="Calibri" w:cs="Calibri"/>
          <w:sz w:val="26"/>
          <w:szCs w:val="26"/>
        </w:rPr>
        <w:t xml:space="preserve"> District de Bamako</w:t>
      </w:r>
    </w:p>
    <w:p w:rsidR="001325FB" w:rsidRDefault="001325FB" w:rsidP="001325FB">
      <w:pPr>
        <w:jc w:val="center"/>
        <w:rPr>
          <w:rFonts w:ascii="Calibri" w:hAnsi="Calibri"/>
          <w:sz w:val="22"/>
          <w:szCs w:val="22"/>
        </w:rPr>
      </w:pPr>
    </w:p>
    <w:p w:rsidR="001325FB" w:rsidRDefault="001325FB" w:rsidP="001325FB">
      <w:pPr>
        <w:jc w:val="both"/>
        <w:rPr>
          <w:rFonts w:ascii="Calibri" w:hAnsi="Calibri"/>
          <w:b/>
          <w:sz w:val="22"/>
          <w:szCs w:val="22"/>
        </w:rPr>
      </w:pPr>
    </w:p>
    <w:p w:rsidR="008348B2" w:rsidRDefault="001325FB" w:rsidP="00132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vue de c</w:t>
      </w:r>
      <w:r w:rsidRPr="001325FB">
        <w:rPr>
          <w:rFonts w:asciiTheme="minorHAnsi" w:hAnsiTheme="minorHAnsi"/>
          <w:sz w:val="22"/>
          <w:szCs w:val="22"/>
        </w:rPr>
        <w:t xml:space="preserve">ontribuer au renforcement des capacités du laboratoire </w:t>
      </w:r>
      <w:r w:rsidR="0088663E">
        <w:rPr>
          <w:rFonts w:asciiTheme="minorHAnsi" w:hAnsiTheme="minorHAnsi"/>
          <w:sz w:val="22"/>
          <w:szCs w:val="22"/>
        </w:rPr>
        <w:t xml:space="preserve">rénové et équipé </w:t>
      </w:r>
      <w:r w:rsidR="008348B2">
        <w:rPr>
          <w:rFonts w:asciiTheme="minorHAnsi" w:hAnsiTheme="minorHAnsi"/>
          <w:sz w:val="22"/>
          <w:szCs w:val="22"/>
        </w:rPr>
        <w:t xml:space="preserve">par l’UNFPA </w:t>
      </w:r>
      <w:r w:rsidRPr="001325FB">
        <w:rPr>
          <w:rFonts w:asciiTheme="minorHAnsi" w:hAnsiTheme="minorHAnsi"/>
          <w:sz w:val="22"/>
          <w:szCs w:val="22"/>
        </w:rPr>
        <w:t>dans le cadre des violences basées sur le genre</w:t>
      </w:r>
      <w:r>
        <w:rPr>
          <w:rFonts w:asciiTheme="minorHAnsi" w:hAnsiTheme="minorHAnsi"/>
          <w:sz w:val="22"/>
          <w:szCs w:val="22"/>
        </w:rPr>
        <w:t xml:space="preserve"> et </w:t>
      </w:r>
      <w:r w:rsidRPr="001325FB">
        <w:rPr>
          <w:rFonts w:asciiTheme="minorHAnsi" w:hAnsiTheme="minorHAnsi"/>
          <w:sz w:val="22"/>
          <w:szCs w:val="22"/>
        </w:rPr>
        <w:t xml:space="preserve">à </w:t>
      </w:r>
      <w:proofErr w:type="gramStart"/>
      <w:r w:rsidRPr="001325FB">
        <w:rPr>
          <w:rFonts w:asciiTheme="minorHAnsi" w:hAnsiTheme="minorHAnsi"/>
          <w:sz w:val="22"/>
          <w:szCs w:val="22"/>
        </w:rPr>
        <w:t>l’amélioration  du</w:t>
      </w:r>
      <w:proofErr w:type="gramEnd"/>
      <w:r w:rsidRPr="001325FB">
        <w:rPr>
          <w:rFonts w:asciiTheme="minorHAnsi" w:hAnsiTheme="minorHAnsi"/>
          <w:sz w:val="22"/>
          <w:szCs w:val="22"/>
        </w:rPr>
        <w:t xml:space="preserve"> diagnostic et à la surveillance des maladies par des analyses biologiques de qualité selon les lignes directrices du Guide de Bonne Exécution des Analyses (GBEA) de biologie médicales du Mali</w:t>
      </w:r>
      <w:r w:rsidR="0088663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du One Stop Center du CSREF de la CV du District de Bamako</w:t>
      </w:r>
      <w:r w:rsidR="008348B2">
        <w:rPr>
          <w:rFonts w:asciiTheme="minorHAnsi" w:hAnsiTheme="minorHAnsi"/>
          <w:sz w:val="22"/>
          <w:szCs w:val="22"/>
        </w:rPr>
        <w:t xml:space="preserve"> : </w:t>
      </w:r>
    </w:p>
    <w:p w:rsidR="008348B2" w:rsidRDefault="008348B2" w:rsidP="001325FB">
      <w:pPr>
        <w:jc w:val="both"/>
        <w:rPr>
          <w:rFonts w:ascii="Calibri" w:hAnsi="Calibri" w:cs="Calibri"/>
          <w:sz w:val="22"/>
          <w:szCs w:val="22"/>
        </w:rPr>
      </w:pPr>
    </w:p>
    <w:p w:rsidR="001325FB" w:rsidRPr="001325FB" w:rsidRDefault="001325FB" w:rsidP="00072F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6282A"/>
          <w:sz w:val="22"/>
          <w:szCs w:val="22"/>
        </w:rPr>
      </w:pPr>
      <w:r w:rsidRPr="001325FB">
        <w:rPr>
          <w:rFonts w:asciiTheme="minorHAnsi" w:hAnsiTheme="minorHAnsi"/>
          <w:sz w:val="22"/>
          <w:szCs w:val="22"/>
        </w:rPr>
        <w:t xml:space="preserve">Pour la fonctionnalité du Laboratoire, l’UNFPA souhaite recruter un cabinet de formation ou un consultant en vue du </w:t>
      </w:r>
      <w:r w:rsidRPr="001325FB">
        <w:rPr>
          <w:rFonts w:asciiTheme="minorHAnsi" w:hAnsiTheme="minorHAnsi"/>
          <w:color w:val="26282A"/>
        </w:rPr>
        <w:t xml:space="preserve">renforcement des capacités des staffs du laboratoire du Centre de Santé de Référence de la Commune V du District de Bamako, pour une période de </w:t>
      </w:r>
      <w:r w:rsidRPr="001325FB">
        <w:rPr>
          <w:rFonts w:asciiTheme="minorHAnsi" w:hAnsiTheme="minorHAnsi"/>
          <w:b/>
          <w:color w:val="26282A"/>
        </w:rPr>
        <w:t>20 jours</w:t>
      </w:r>
    </w:p>
    <w:p w:rsidR="001325FB" w:rsidRDefault="001325FB" w:rsidP="001325FB">
      <w:pPr>
        <w:pStyle w:val="BodyText3"/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1325FB" w:rsidRDefault="001325FB" w:rsidP="001325FB">
      <w:pPr>
        <w:pStyle w:val="Caption"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 xml:space="preserve">Les cabinets / bureaux d’études </w:t>
      </w:r>
      <w:r w:rsidR="000C1894">
        <w:rPr>
          <w:rFonts w:ascii="Calibri" w:hAnsi="Calibri" w:cs="Calibri"/>
          <w:sz w:val="22"/>
          <w:szCs w:val="22"/>
        </w:rPr>
        <w:t xml:space="preserve">ou consultant </w:t>
      </w:r>
      <w:r>
        <w:rPr>
          <w:rFonts w:ascii="Calibri" w:hAnsi="Calibri" w:cs="Calibri"/>
          <w:sz w:val="22"/>
          <w:szCs w:val="22"/>
        </w:rPr>
        <w:t xml:space="preserve">intéressés pour la </w:t>
      </w:r>
      <w:proofErr w:type="gramStart"/>
      <w:r>
        <w:rPr>
          <w:rFonts w:ascii="Calibri" w:hAnsi="Calibri" w:cs="Calibri"/>
          <w:sz w:val="22"/>
          <w:szCs w:val="22"/>
        </w:rPr>
        <w:t>présente,  peuvent</w:t>
      </w:r>
      <w:proofErr w:type="gramEnd"/>
      <w:r>
        <w:rPr>
          <w:rFonts w:ascii="Calibri" w:hAnsi="Calibri" w:cs="Calibri"/>
          <w:sz w:val="22"/>
          <w:szCs w:val="22"/>
        </w:rPr>
        <w:t xml:space="preserve"> soumettre des offres (techniques et financières). Les Termes de Référence détaillés sont disponibles sur le site UNFPA Mali suivant 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http://mali.unfpa.org</w:t>
        </w:r>
      </w:hyperlink>
    </w:p>
    <w:p w:rsidR="001325FB" w:rsidRDefault="001325FB" w:rsidP="001325FB">
      <w:pPr>
        <w:pStyle w:val="ListParagraph"/>
        <w:jc w:val="both"/>
        <w:rPr>
          <w:rFonts w:ascii="Calibri" w:hAnsi="Calibri" w:cs="Calibri"/>
          <w:b/>
          <w:sz w:val="22"/>
          <w:szCs w:val="22"/>
        </w:rPr>
      </w:pPr>
    </w:p>
    <w:p w:rsidR="001325FB" w:rsidRPr="000172EE" w:rsidRDefault="001325FB" w:rsidP="00F521B8">
      <w:pPr>
        <w:pStyle w:val="BodyText3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172EE">
        <w:rPr>
          <w:rFonts w:ascii="Calibri" w:hAnsi="Calibri"/>
          <w:color w:val="000000"/>
          <w:sz w:val="22"/>
          <w:szCs w:val="22"/>
        </w:rPr>
        <w:t xml:space="preserve">Les offres doivent être </w:t>
      </w:r>
      <w:r w:rsidRPr="000172EE">
        <w:rPr>
          <w:rFonts w:ascii="Calibri" w:hAnsi="Calibri"/>
          <w:b/>
          <w:color w:val="000000"/>
          <w:sz w:val="22"/>
          <w:szCs w:val="22"/>
        </w:rPr>
        <w:t>soumises</w:t>
      </w:r>
      <w:r w:rsidR="000172EE" w:rsidRPr="000172EE">
        <w:rPr>
          <w:rFonts w:ascii="Calibri" w:hAnsi="Calibri"/>
          <w:b/>
          <w:color w:val="000000"/>
          <w:sz w:val="22"/>
          <w:szCs w:val="22"/>
        </w:rPr>
        <w:t xml:space="preserve"> par l’adresse sécurisée </w:t>
      </w:r>
      <w:r w:rsidR="008348B2">
        <w:rPr>
          <w:rFonts w:ascii="Calibri" w:hAnsi="Calibri"/>
          <w:b/>
          <w:color w:val="000000"/>
          <w:sz w:val="22"/>
          <w:szCs w:val="22"/>
        </w:rPr>
        <w:t xml:space="preserve">du bureau </w:t>
      </w:r>
      <w:r w:rsidR="000172EE" w:rsidRPr="000172EE">
        <w:rPr>
          <w:rFonts w:ascii="Calibri" w:hAnsi="Calibri"/>
          <w:b/>
          <w:color w:val="000000"/>
          <w:sz w:val="22"/>
          <w:szCs w:val="22"/>
        </w:rPr>
        <w:t xml:space="preserve">: </w:t>
      </w:r>
      <w:hyperlink r:id="rId6" w:history="1">
        <w:r w:rsidR="000172EE" w:rsidRPr="000172EE">
          <w:rPr>
            <w:rStyle w:val="Hyperlink"/>
            <w:rFonts w:ascii="Calibri" w:hAnsi="Calibri"/>
            <w:b/>
            <w:sz w:val="22"/>
            <w:szCs w:val="22"/>
          </w:rPr>
          <w:t>procurement.mli@unfpa.org</w:t>
        </w:r>
      </w:hyperlink>
      <w:r w:rsidR="000172EE" w:rsidRPr="000172EE">
        <w:rPr>
          <w:rFonts w:ascii="Calibri" w:hAnsi="Calibri"/>
          <w:b/>
          <w:color w:val="000000"/>
          <w:sz w:val="22"/>
          <w:szCs w:val="22"/>
        </w:rPr>
        <w:t xml:space="preserve"> avec en objet : renforcement des capacités des staff de Laboratoire dans le cadre du One Stop</w:t>
      </w:r>
      <w:r w:rsidRPr="000172EE">
        <w:rPr>
          <w:rFonts w:ascii="Calibri" w:hAnsi="Calibri"/>
          <w:color w:val="000000"/>
          <w:sz w:val="22"/>
          <w:szCs w:val="22"/>
        </w:rPr>
        <w:t xml:space="preserve">, au plus tard le </w:t>
      </w:r>
      <w:r w:rsidR="000C1894">
        <w:rPr>
          <w:rFonts w:ascii="Calibri" w:hAnsi="Calibri"/>
          <w:b/>
          <w:color w:val="000000"/>
          <w:sz w:val="22"/>
          <w:szCs w:val="22"/>
          <w:u w:val="single"/>
        </w:rPr>
        <w:t>Jeudi</w:t>
      </w:r>
      <w:r w:rsidRPr="000172E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0C1894">
        <w:rPr>
          <w:rFonts w:ascii="Calibri" w:hAnsi="Calibri"/>
          <w:b/>
          <w:color w:val="000000"/>
          <w:sz w:val="22"/>
          <w:szCs w:val="22"/>
          <w:u w:val="single"/>
        </w:rPr>
        <w:t>20</w:t>
      </w:r>
      <w:r w:rsidRPr="000172EE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0172EE" w:rsidRPr="000172EE">
        <w:rPr>
          <w:rFonts w:ascii="Calibri" w:hAnsi="Calibri"/>
          <w:b/>
          <w:color w:val="000000"/>
          <w:sz w:val="22"/>
          <w:szCs w:val="22"/>
          <w:u w:val="single"/>
        </w:rPr>
        <w:t>Août</w:t>
      </w:r>
      <w:r w:rsidRPr="000172EE">
        <w:rPr>
          <w:rFonts w:ascii="Calibri" w:hAnsi="Calibri"/>
          <w:b/>
          <w:color w:val="000000"/>
          <w:sz w:val="22"/>
          <w:szCs w:val="22"/>
          <w:u w:val="single"/>
        </w:rPr>
        <w:t xml:space="preserve"> 2020 à 11 heures GMT</w:t>
      </w:r>
      <w:r w:rsidRPr="000172EE">
        <w:rPr>
          <w:rFonts w:ascii="Calibri" w:hAnsi="Calibri"/>
          <w:color w:val="000000"/>
          <w:sz w:val="22"/>
          <w:szCs w:val="22"/>
          <w:u w:val="single"/>
        </w:rPr>
        <w:t>.</w:t>
      </w:r>
      <w:r w:rsidRPr="000172EE">
        <w:rPr>
          <w:rFonts w:ascii="Calibri" w:hAnsi="Calibri"/>
          <w:color w:val="000000"/>
          <w:sz w:val="22"/>
          <w:szCs w:val="22"/>
        </w:rPr>
        <w:t xml:space="preserve"> </w:t>
      </w:r>
    </w:p>
    <w:p w:rsidR="000172EE" w:rsidRPr="000172EE" w:rsidRDefault="000172EE" w:rsidP="000172EE">
      <w:pPr>
        <w:pStyle w:val="BodyText3"/>
        <w:jc w:val="both"/>
        <w:rPr>
          <w:rFonts w:ascii="Calibri" w:hAnsi="Calibri"/>
          <w:b/>
          <w:sz w:val="22"/>
          <w:szCs w:val="22"/>
        </w:rPr>
      </w:pPr>
    </w:p>
    <w:p w:rsidR="001325FB" w:rsidRDefault="001325FB" w:rsidP="001325FB">
      <w:pPr>
        <w:pStyle w:val="ListParagraph"/>
        <w:numPr>
          <w:ilvl w:val="0"/>
          <w:numId w:val="1"/>
        </w:numPr>
        <w:suppressAutoHyphens w:val="0"/>
        <w:overflowPunct/>
        <w:autoSpaceDE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Questions</w:t>
      </w:r>
    </w:p>
    <w:p w:rsidR="001325FB" w:rsidRDefault="001325FB" w:rsidP="001325FB">
      <w:pPr>
        <w:pStyle w:val="ListParagraph"/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:rsidR="001325FB" w:rsidRDefault="001325FB" w:rsidP="001325FB">
      <w:pPr>
        <w:pStyle w:val="letter"/>
        <w:jc w:val="both"/>
      </w:pPr>
      <w:r>
        <w:rPr>
          <w:rFonts w:ascii="Calibri" w:hAnsi="Calibri" w:cs="Calibri"/>
          <w:b/>
          <w:sz w:val="22"/>
          <w:szCs w:val="22"/>
        </w:rPr>
        <w:t>Les demandes de clarification doivent être communiquées par écrit au contact ci-dessous :</w:t>
      </w:r>
    </w:p>
    <w:p w:rsidR="001325FB" w:rsidRDefault="001325FB" w:rsidP="001325FB">
      <w:pPr>
        <w:pStyle w:val="letter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89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5431"/>
      </w:tblGrid>
      <w:tr w:rsidR="001325FB" w:rsidTr="00117759">
        <w:trPr>
          <w:jc w:val="center"/>
        </w:trPr>
        <w:tc>
          <w:tcPr>
            <w:tcW w:w="3509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FB" w:rsidRDefault="001325FB" w:rsidP="00117759">
            <w:pPr>
              <w:pStyle w:val="letter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 de la personne de contact à l’UNFPA :</w:t>
            </w:r>
          </w:p>
        </w:tc>
        <w:tc>
          <w:tcPr>
            <w:tcW w:w="5431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1325FB" w:rsidRDefault="001325FB" w:rsidP="000172EE">
            <w:pPr>
              <w:pStyle w:val="letter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>N’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>Diaye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>Coumba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ou </w:t>
            </w:r>
            <w:r w:rsidR="000172EE"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>Kalifa Traoré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  <w:tr w:rsidR="001325FB" w:rsidTr="00117759">
        <w:trPr>
          <w:jc w:val="center"/>
        </w:trPr>
        <w:tc>
          <w:tcPr>
            <w:tcW w:w="350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FB" w:rsidRDefault="001325FB" w:rsidP="00117759">
            <w:pPr>
              <w:pStyle w:val="letter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 de tél. :</w:t>
            </w:r>
          </w:p>
        </w:tc>
        <w:tc>
          <w:tcPr>
            <w:tcW w:w="54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1325FB" w:rsidRDefault="001325FB" w:rsidP="000172EE">
            <w:pPr>
              <w:pStyle w:val="letter"/>
              <w:jc w:val="both"/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shd w:val="clear" w:color="auto" w:fill="FFFF00"/>
              </w:rPr>
              <w:t xml:space="preserve">+223 </w:t>
            </w:r>
          </w:p>
        </w:tc>
      </w:tr>
      <w:tr w:rsidR="001325FB" w:rsidTr="00117759">
        <w:trPr>
          <w:jc w:val="center"/>
        </w:trPr>
        <w:tc>
          <w:tcPr>
            <w:tcW w:w="350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FB" w:rsidRDefault="001325FB" w:rsidP="00117759">
            <w:pPr>
              <w:pStyle w:val="letter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 de fax :</w:t>
            </w:r>
          </w:p>
        </w:tc>
        <w:tc>
          <w:tcPr>
            <w:tcW w:w="54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1325FB" w:rsidRDefault="001325FB" w:rsidP="00117759">
            <w:pPr>
              <w:pStyle w:val="letter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1325FB" w:rsidTr="00117759">
        <w:trPr>
          <w:jc w:val="center"/>
        </w:trPr>
        <w:tc>
          <w:tcPr>
            <w:tcW w:w="3509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FB" w:rsidRDefault="001325FB" w:rsidP="00117759">
            <w:pPr>
              <w:pStyle w:val="letter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e-mail du contact :</w:t>
            </w:r>
          </w:p>
        </w:tc>
        <w:tc>
          <w:tcPr>
            <w:tcW w:w="5431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1325FB" w:rsidRDefault="00B30B7A" w:rsidP="000172EE">
            <w:pPr>
              <w:pStyle w:val="letter"/>
              <w:jc w:val="both"/>
            </w:pPr>
            <w:hyperlink r:id="rId7" w:history="1">
              <w:r w:rsidR="001325FB">
                <w:rPr>
                  <w:rStyle w:val="Hyperlink"/>
                  <w:rFonts w:ascii="Calibri" w:eastAsia="Calibri" w:hAnsi="Calibri" w:cs="Calibri"/>
                  <w:b/>
                  <w:i/>
                  <w:sz w:val="22"/>
                  <w:szCs w:val="22"/>
                  <w:shd w:val="clear" w:color="auto" w:fill="FFFF00"/>
                </w:rPr>
                <w:t>csow@unfpa.org</w:t>
              </w:r>
            </w:hyperlink>
            <w:r w:rsidR="001325FB"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/ </w:t>
            </w:r>
            <w:hyperlink r:id="rId8" w:history="1">
              <w:r w:rsidR="000172EE" w:rsidRPr="002950AE">
                <w:rPr>
                  <w:rStyle w:val="Hyperlink"/>
                  <w:rFonts w:ascii="Calibri" w:eastAsia="Calibri" w:hAnsi="Calibri" w:cs="Calibri"/>
                  <w:b/>
                  <w:i/>
                  <w:sz w:val="22"/>
                  <w:szCs w:val="22"/>
                  <w:shd w:val="clear" w:color="auto" w:fill="FFFF00"/>
                </w:rPr>
                <w:t>ktraore@unfpa.org</w:t>
              </w:r>
            </w:hyperlink>
            <w:r w:rsidR="001325FB">
              <w:rPr>
                <w:rFonts w:ascii="Calibri" w:eastAsia="Calibri" w:hAnsi="Calibri" w:cs="Calibri"/>
                <w:b/>
                <w:i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</w:tbl>
    <w:p w:rsidR="001325FB" w:rsidRDefault="001325FB" w:rsidP="001325FB">
      <w:pPr>
        <w:jc w:val="both"/>
        <w:rPr>
          <w:rFonts w:ascii="Calibri" w:hAnsi="Calibri"/>
          <w:b/>
          <w:sz w:val="22"/>
          <w:szCs w:val="22"/>
        </w:rPr>
      </w:pPr>
    </w:p>
    <w:sectPr w:rsidR="001325FB">
      <w:pgSz w:w="11906" w:h="16838"/>
      <w:pgMar w:top="1134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6EA"/>
    <w:multiLevelType w:val="hybridMultilevel"/>
    <w:tmpl w:val="7AC416B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528A8"/>
    <w:multiLevelType w:val="hybridMultilevel"/>
    <w:tmpl w:val="FA60BB0A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BAC3F41"/>
    <w:multiLevelType w:val="multilevel"/>
    <w:tmpl w:val="CE9E3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FB"/>
    <w:rsid w:val="000172EE"/>
    <w:rsid w:val="00072F9C"/>
    <w:rsid w:val="000C1894"/>
    <w:rsid w:val="001325FB"/>
    <w:rsid w:val="001605BC"/>
    <w:rsid w:val="002165E0"/>
    <w:rsid w:val="00802956"/>
    <w:rsid w:val="008348B2"/>
    <w:rsid w:val="0088663E"/>
    <w:rsid w:val="00A929E4"/>
    <w:rsid w:val="00B30B7A"/>
    <w:rsid w:val="00C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E009-2AAE-4B3C-9812-7FB39D4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25F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325FB"/>
    <w:pPr>
      <w:ind w:left="720"/>
    </w:pPr>
  </w:style>
  <w:style w:type="paragraph" w:styleId="Caption">
    <w:name w:val="caption"/>
    <w:basedOn w:val="Normal"/>
    <w:next w:val="Normal"/>
    <w:rsid w:val="001325FB"/>
    <w:pPr>
      <w:suppressAutoHyphens w:val="0"/>
      <w:overflowPunct/>
      <w:autoSpaceDE/>
      <w:jc w:val="center"/>
      <w:textAlignment w:val="auto"/>
    </w:pPr>
    <w:rPr>
      <w:b/>
      <w:sz w:val="28"/>
      <w:lang w:eastAsia="en-US" w:bidi="ar-SA"/>
    </w:rPr>
  </w:style>
  <w:style w:type="paragraph" w:styleId="BodyText3">
    <w:name w:val="Body Text 3"/>
    <w:basedOn w:val="Normal"/>
    <w:link w:val="BodyText3Char"/>
    <w:rsid w:val="001325FB"/>
    <w:pPr>
      <w:suppressAutoHyphens w:val="0"/>
      <w:overflowPunct/>
      <w:autoSpaceDE/>
      <w:textAlignment w:val="auto"/>
    </w:pPr>
    <w:rPr>
      <w:rFonts w:ascii="Arial" w:hAnsi="Arial" w:cs="Arial"/>
      <w:sz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1325FB"/>
    <w:rPr>
      <w:rFonts w:ascii="Arial" w:eastAsia="Times New Roman" w:hAnsi="Arial" w:cs="Arial"/>
      <w:sz w:val="28"/>
      <w:szCs w:val="20"/>
      <w:lang w:eastAsia="fr-FR"/>
    </w:rPr>
  </w:style>
  <w:style w:type="paragraph" w:customStyle="1" w:styleId="letter">
    <w:name w:val="letter"/>
    <w:basedOn w:val="Normal"/>
    <w:rsid w:val="001325FB"/>
    <w:pPr>
      <w:tabs>
        <w:tab w:val="left" w:pos="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uppressAutoHyphens w:val="0"/>
      <w:overflowPunct/>
      <w:autoSpaceDE/>
      <w:textAlignment w:val="auto"/>
    </w:pPr>
    <w:rPr>
      <w:sz w:val="24"/>
      <w:lang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325FB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1325FB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raore@unf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ow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.mli@unfpa.org" TargetMode="External"/><Relationship Id="rId5" Type="http://schemas.openxmlformats.org/officeDocument/2006/relationships/hyperlink" Target="http://mali.unfp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Ndiaye Coumba SOW</dc:creator>
  <cp:keywords/>
  <dc:description/>
  <cp:lastModifiedBy>INVITE</cp:lastModifiedBy>
  <cp:revision>2</cp:revision>
  <dcterms:created xsi:type="dcterms:W3CDTF">2020-08-13T19:36:00Z</dcterms:created>
  <dcterms:modified xsi:type="dcterms:W3CDTF">2020-08-13T19:36:00Z</dcterms:modified>
</cp:coreProperties>
</file>