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HUMANITAIRE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Depuis une dizaine </w:t>
      </w:r>
      <w:r w:rsidDel="00000000" w:rsidR="00000000" w:rsidRPr="00000000">
        <w:rPr>
          <w:rFonts w:ascii="Helvetica Neue" w:cs="Helvetica Neue" w:eastAsia="Helvetica Neue" w:hAnsi="Helvetica Neue"/>
          <w:sz w:val="22"/>
          <w:szCs w:val="22"/>
          <w:rtl w:val="0"/>
        </w:rPr>
        <w:t xml:space="preserve">d'années, le Mali</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est en proie à des crises politiques et sécuritaires persistantes. Dans les régions du nord </w:t>
      </w:r>
      <w:r w:rsidDel="00000000" w:rsidR="00000000" w:rsidRPr="00000000">
        <w:rPr>
          <w:rFonts w:ascii="Helvetica Neue" w:cs="Helvetica Neue" w:eastAsia="Helvetica Neue" w:hAnsi="Helvetica Neue"/>
          <w:sz w:val="22"/>
          <w:szCs w:val="22"/>
          <w:rtl w:val="0"/>
        </w:rPr>
        <w:t xml:space="preserve">et du centre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du </w:t>
      </w:r>
      <w:r w:rsidDel="00000000" w:rsidR="00000000" w:rsidRPr="00000000">
        <w:rPr>
          <w:rFonts w:ascii="Helvetica Neue" w:cs="Helvetica Neue" w:eastAsia="Helvetica Neue" w:hAnsi="Helvetica Neue"/>
          <w:sz w:val="22"/>
          <w:szCs w:val="22"/>
          <w:rtl w:val="0"/>
        </w:rPr>
        <w:t xml:space="preserve">pays, les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populations sont la cible d’attaques djihadistes et sont confrontées à des conflits communautaires meurtriers issues des clivages ethniques mais également des graves violations </w:t>
      </w:r>
      <w:r w:rsidDel="00000000" w:rsidR="00000000" w:rsidRPr="00000000">
        <w:rPr>
          <w:rFonts w:ascii="Helvetica Neue" w:cs="Helvetica Neue" w:eastAsia="Helvetica Neue" w:hAnsi="Helvetica Neue"/>
          <w:sz w:val="22"/>
          <w:szCs w:val="22"/>
          <w:rtl w:val="0"/>
        </w:rPr>
        <w:t xml:space="preserve">des droits humains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en lien avec la criminalité ambiante.</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L’impact de la crise multiforme continue de s’accentuer d’année en année aggravant la situation humanitaire dans les régions du nord </w:t>
      </w:r>
      <w:r w:rsidDel="00000000" w:rsidR="00000000" w:rsidRPr="00000000">
        <w:rPr>
          <w:rFonts w:ascii="Helvetica Neue" w:cs="Helvetica Neue" w:eastAsia="Helvetica Neue" w:hAnsi="Helvetica Neue"/>
          <w:sz w:val="22"/>
          <w:szCs w:val="22"/>
          <w:highlight w:val="white"/>
          <w:rtl w:val="0"/>
        </w:rPr>
        <w:t xml:space="preserve">et du centre</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du pays. Selon l'Aperçu des Besoins Humanitaires de 2022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7,5 millions de personnes se retrouvent dans le besoin d’une </w:t>
      </w: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assistance humanitaire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La situation sécuritaire dans la région de Tombouctou reste volatile et se caractérise par la récurrence attaques ciblant les FaMa et les forces internationales des actes de banditisme, terrorisme mais également par les braquages sur les principaux axes routiers entravant la circulation des personnes et des biens, l’accès des populations aux services sociaux de base, ainsi que des acteurs humanitaires aux populations vulnérables.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La persistance de cette insécurité se manifeste par des graves violations </w:t>
      </w:r>
      <w:r w:rsidDel="00000000" w:rsidR="00000000" w:rsidRPr="00000000">
        <w:rPr>
          <w:rFonts w:ascii="Helvetica Neue" w:cs="Helvetica Neue" w:eastAsia="Helvetica Neue" w:hAnsi="Helvetica Neue"/>
          <w:sz w:val="22"/>
          <w:szCs w:val="22"/>
          <w:rtl w:val="0"/>
        </w:rPr>
        <w:t xml:space="preserve">des droits</w:t>
      </w: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 de l’homme notamment des cas d’assassinats, d’enlèvements, des braquages   et des violences sexuelles etc. Plusieurs localités dans le Gourma reste sous le contrôle des Groupes Armés non </w:t>
      </w:r>
      <w:r w:rsidDel="00000000" w:rsidR="00000000" w:rsidRPr="00000000">
        <w:rPr>
          <w:rFonts w:ascii="Helvetica Neue" w:cs="Helvetica Neue" w:eastAsia="Helvetica Neue" w:hAnsi="Helvetica Neue"/>
          <w:sz w:val="22"/>
          <w:szCs w:val="22"/>
          <w:rtl w:val="0"/>
        </w:rPr>
        <w:t xml:space="preserve">Étatique</w:t>
      </w: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(GANE) qui applique la charia accentuant ainsi des mouvements de populations et les contraintes d’accès mais également la dégradation de la situation de protection des femmes et des filles.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79bf"/>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La détérioration humanitaire a atteint des proportions inquiétantes avec le déplacement de centaines de milliers de personnes à l'intérieur du pays et au sein des pays avoisinants rendant les besoins humanitaires de plus en plus pressants et </w:t>
      </w:r>
      <w:r w:rsidDel="00000000" w:rsidR="00000000" w:rsidRPr="00000000">
        <w:rPr>
          <w:rFonts w:ascii="Helvetica Neue" w:cs="Helvetica Neue" w:eastAsia="Helvetica Neue" w:hAnsi="Helvetica Neue"/>
          <w:sz w:val="22"/>
          <w:szCs w:val="22"/>
          <w:rtl w:val="0"/>
        </w:rPr>
        <w:t xml:space="preserve">sévères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contexte de protection se caractérise par la récurrence de violations de droits de l’homme y compris les violences basées sur le genre ciblant les femmes et les filles. La détérioration du contexte </w:t>
      </w:r>
      <w:r w:rsidDel="00000000" w:rsidR="00000000" w:rsidRPr="00000000">
        <w:rPr>
          <w:rFonts w:ascii="Helvetica Neue" w:cs="Helvetica Neue" w:eastAsia="Helvetica Neue" w:hAnsi="Helvetica Neue"/>
          <w:sz w:val="22"/>
          <w:szCs w:val="22"/>
          <w:rtl w:val="0"/>
        </w:rPr>
        <w:t xml:space="preserve">sécuritaire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 entraîné une faible présence du personnel au niveau des infrastructures socio sanitaires impactant l’accès aux services sociaux de base. Les services de santé reproductive se raréfient alors que les besoins en matière de santé globale augmentent considérablement.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Face à la persistance de la crise multiforme   et son caractère de plus en plus complexe, les besoins en aide humanitaire n’ont pas cessé de croître durant les dernières années. Afin de se donner les moyens d’y répondre et de préparer au mieux ses interventions humanitaires conformément à son mandat, le bureau pays de l’UNFPA compte recruter ………. A travers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et les PVVIH,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Le programme recherche et encourage activement l’application d'étudiants appartenant à des groupes de personnes défavorisées et vulnérables de la société.</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w:t>
      </w:r>
    </w:p>
    <w:p w:rsidR="00000000" w:rsidDel="00000000" w:rsidP="00000000" w:rsidRDefault="00000000" w:rsidRPr="00000000" w14:paraId="0000001C">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stage porte sur le domaine de l’humanitaire notamment les interventions d’urgence dans le cadre d’une crise telles que catastrophes naturelles ou provoquées par l’homme, épidémies etc, visant à soutenir les populations affectées.</w:t>
      </w:r>
    </w:p>
    <w:p w:rsidR="00000000" w:rsidDel="00000000" w:rsidP="00000000" w:rsidRDefault="00000000" w:rsidRPr="00000000" w14:paraId="0000001D">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effectue son travail en tant que bénévole sur le terrain en renfort du personnel présent pour la coordination et l’implémentation des activités humanitaires notamment par la :</w:t>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Collaboration dans le processus d’appels à propositions et collecte de fonds ;</w:t>
      </w:r>
    </w:p>
    <w:p w:rsidR="00000000" w:rsidDel="00000000" w:rsidP="00000000" w:rsidRDefault="00000000" w:rsidRPr="00000000" w14:paraId="0000001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Appuyer l’organisation des ateliers de renforcements de capacités du personnel et des partenaires sur les thématiques centrales du mandat </w:t>
      </w:r>
      <w:r w:rsidDel="00000000" w:rsidR="00000000" w:rsidRPr="00000000">
        <w:rPr>
          <w:rFonts w:ascii="Helvetica Neue" w:cs="Helvetica Neue" w:eastAsia="Helvetica Neue" w:hAnsi="Helvetica Neue"/>
          <w:sz w:val="22"/>
          <w:szCs w:val="22"/>
          <w:rtl w:val="0"/>
        </w:rPr>
        <w:t xml:space="preserve">de l'UNFPA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en contexte humanitaire.</w:t>
      </w:r>
    </w:p>
    <w:p w:rsidR="00000000" w:rsidDel="00000000" w:rsidP="00000000" w:rsidRDefault="00000000" w:rsidRPr="00000000" w14:paraId="0000002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Assurer le suivi des activités de routine aux centres des femmes et de filles</w:t>
      </w:r>
    </w:p>
    <w:p w:rsidR="00000000" w:rsidDel="00000000" w:rsidP="00000000" w:rsidRDefault="00000000" w:rsidRPr="00000000" w14:paraId="0000002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Appuyer l’organisation des réunions mensuelles du Groupe de Travail VBG ;</w:t>
      </w:r>
    </w:p>
    <w:p w:rsidR="00000000" w:rsidDel="00000000" w:rsidP="00000000" w:rsidRDefault="00000000" w:rsidRPr="00000000" w14:paraId="0000002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Participer aux évaluations sectorielles et inter agence initiées par les différents clusters ,et les services techniques</w:t>
      </w:r>
    </w:p>
    <w:p w:rsidR="00000000" w:rsidDel="00000000" w:rsidP="00000000" w:rsidRDefault="00000000" w:rsidRPr="00000000" w14:paraId="0000002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Organiser des séances de sensibilisations sur les thématiques centrales du mandat </w:t>
      </w:r>
      <w:r w:rsidDel="00000000" w:rsidR="00000000" w:rsidRPr="00000000">
        <w:rPr>
          <w:rFonts w:ascii="Helvetica Neue" w:cs="Helvetica Neue" w:eastAsia="Helvetica Neue" w:hAnsi="Helvetica Neue"/>
          <w:sz w:val="22"/>
          <w:szCs w:val="22"/>
          <w:rtl w:val="0"/>
        </w:rPr>
        <w:t xml:space="preserve">de l'UNFPA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(VBG,Planning Familial, l’exploitation et les Abus Sexuels.</w:t>
      </w:r>
    </w:p>
    <w:p w:rsidR="00000000" w:rsidDel="00000000" w:rsidP="00000000" w:rsidRDefault="00000000" w:rsidRPr="00000000" w14:paraId="0000002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Soutenir les activités des comités CBCM/PSEA et les comités d’alerte précoce </w:t>
      </w:r>
    </w:p>
    <w:p w:rsidR="00000000" w:rsidDel="00000000" w:rsidP="00000000" w:rsidRDefault="00000000" w:rsidRPr="00000000" w14:paraId="00000025">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Assurer la collecte des données au niveaux des centres de femmes et les One Stop Center pour les besoins de rapportage</w:t>
      </w:r>
    </w:p>
    <w:p w:rsidR="00000000" w:rsidDel="00000000" w:rsidP="00000000" w:rsidRDefault="00000000" w:rsidRPr="00000000" w14:paraId="0000002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Participer aux activités distributions de kits de dignité dans le cadre de l’assistance aux femmes et filles déplacées.</w:t>
      </w:r>
    </w:p>
    <w:p w:rsidR="00000000" w:rsidDel="00000000" w:rsidP="00000000" w:rsidRDefault="00000000" w:rsidRPr="00000000" w14:paraId="0000002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Appuyer l’organisation des campagnes et journées internationales en lien avec le mandat de UNFPA</w:t>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Helvetica Neue" w:cs="Helvetica Neue" w:eastAsia="Helvetica Neue" w:hAnsi="Helvetica Neue"/>
          <w:b w:val="0"/>
          <w:i w:val="0"/>
          <w:smallCaps w:val="0"/>
          <w:strike w:val="0"/>
          <w:color w:val="0079b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Helvetica Neue" w:cs="Helvetica Neue" w:eastAsia="Helvetica Neue" w:hAnsi="Helvetica Neue"/>
          <w:b w:val="0"/>
          <w:i w:val="0"/>
          <w:smallCaps w:val="0"/>
          <w:strike w:val="0"/>
          <w:color w:val="0079b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79bf"/>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Collaboration dans la mise en œuvre et le suivi de projets/activités pour délivrer des services aux personnes affectées ;</w:t>
      </w:r>
    </w:p>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Participation dans la rédaction de rapports et de matériels de visibilité. </w:t>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L’élaboration des compte rendu des réunions (réunion d’unité, réunion sous cluster et réunion d’ad hoc) </w:t>
      </w:r>
    </w:p>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426"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L’élaboration des projets de lettre administrative</w:t>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426"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L’élaboration des bordereaux d’envoi</w:t>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426"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élaboration et Suivi des mémos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bénéficie d’un encadrement professionnel en vue d’une expérience d'apprentissage riche et éclectique.</w:t>
      </w:r>
    </w:p>
    <w:p w:rsidR="00000000" w:rsidDel="00000000" w:rsidP="00000000" w:rsidRDefault="00000000" w:rsidRPr="00000000" w14:paraId="0000003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L’encadreur l’aide à se familiariser avec le travail de l’UNFPA Mali de façon générale et, en particulier, avec le travail de l’UNFPA Mali dans le </w:t>
      </w:r>
      <w:r w:rsidDel="00000000" w:rsidR="00000000" w:rsidRPr="00000000">
        <w:rPr>
          <w:rFonts w:ascii="Helvetica Neue" w:cs="Helvetica Neue" w:eastAsia="Helvetica Neue" w:hAnsi="Helvetica Neue"/>
          <w:sz w:val="22"/>
          <w:szCs w:val="22"/>
          <w:rtl w:val="0"/>
        </w:rPr>
        <w:t xml:space="preserve">domaine humanitaire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accueille deux groupes de 1</w:t>
      </w:r>
      <w:r w:rsidDel="00000000" w:rsidR="00000000" w:rsidRPr="00000000">
        <w:rPr>
          <w:rFonts w:ascii="Helvetica Neue" w:cs="Helvetica Neue" w:eastAsia="Helvetica Neue" w:hAnsi="Helvetica Neue"/>
          <w:sz w:val="22"/>
          <w:szCs w:val="22"/>
          <w:rtl w:val="0"/>
        </w:rPr>
        <w:t xml:space="preserve">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stagiaires pour une période de six mois. Il sera renouvelé par un appel à candidature à la fin de chaque période.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participants ont la possibilité de couvrir certains frais de déplacement, de leur domicile au bureau de l’UNFPA Mali.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42">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3">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44">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(7:30 - 16h30). Une activité de stage ne dépasse généralement pas 4 heures par jour et peut être organisée sur une base AM/PM conformément au programme d’études des participants.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240" w:before="240" w:lineRule="auto"/>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Les dossiers de candidature doivent être renseignés avec objet </w:t>
      </w:r>
      <w:r w:rsidDel="00000000" w:rsidR="00000000" w:rsidRPr="00000000">
        <w:rPr>
          <w:rFonts w:ascii="Helvetica Neue" w:cs="Helvetica Neue" w:eastAsia="Helvetica Neue" w:hAnsi="Helvetica Neue"/>
          <w:sz w:val="22"/>
          <w:szCs w:val="22"/>
          <w:rtl w:val="0"/>
        </w:rPr>
        <w:t xml:space="preserve">« Stagiaire dans le domaine de l’humanitaire Tombouctou »</w:t>
      </w:r>
      <w:r w:rsidDel="00000000" w:rsidR="00000000" w:rsidRPr="00000000">
        <w:rPr>
          <w:rFonts w:ascii="Calibri" w:cs="Calibri" w:eastAsia="Calibri" w:hAnsi="Calibri"/>
          <w:sz w:val="22"/>
          <w:szCs w:val="22"/>
          <w:rtl w:val="0"/>
        </w:rPr>
        <w:t xml:space="preserve"> à travers le formulaire en ligne disponible sur le portail des offres d’emploi du site web suivant : mali.unfpa.org, au plus tard le </w:t>
      </w:r>
      <w:r w:rsidDel="00000000" w:rsidR="00000000" w:rsidRPr="00000000">
        <w:rPr>
          <w:rFonts w:ascii="Calibri" w:cs="Calibri" w:eastAsia="Calibri" w:hAnsi="Calibri"/>
          <w:b w:val="1"/>
          <w:i w:val="1"/>
          <w:sz w:val="22"/>
          <w:szCs w:val="22"/>
          <w:rtl w:val="0"/>
        </w:rPr>
        <w:t xml:space="preserve">22 Juin </w:t>
      </w:r>
      <w:r w:rsidDel="00000000" w:rsidR="00000000" w:rsidRPr="00000000">
        <w:rPr>
          <w:rFonts w:ascii="Calibri" w:cs="Calibri" w:eastAsia="Calibri" w:hAnsi="Calibri"/>
          <w:i w:val="1"/>
          <w:sz w:val="22"/>
          <w:szCs w:val="22"/>
          <w:rtl w:val="0"/>
        </w:rPr>
        <w:t xml:space="preserve">2023 à 00 heure.</w:t>
      </w: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080" w:hanging="360"/>
      </w:pPr>
      <w:rPr>
        <w:rFonts w:ascii="Helvetica Neue" w:cs="Helvetica Neue" w:eastAsia="Helvetica Neue" w:hAnsi="Helvetica Neue"/>
        <w:color w:val="00a2ff"/>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0079b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paragraph" w:styleId="Heading1">
    <w:name w:val="heading 1"/>
    <w:basedOn w:val="Normal"/>
    <w:next w:val="Normal"/>
    <w:link w:val="Heading1Char"/>
    <w:uiPriority w:val="9"/>
    <w:qFormat w:val="1"/>
    <w:rsid w:val="00B925FD"/>
    <w:pPr>
      <w:keepNext w:val="1"/>
      <w:keepLines w:val="1"/>
      <w:spacing w:before="240"/>
      <w:outlineLvl w:val="0"/>
    </w:pPr>
    <w:rPr>
      <w:rFonts w:asciiTheme="majorHAnsi" w:cstheme="majorBidi" w:eastAsiaTheme="majorEastAsia" w:hAnsiTheme="majorHAnsi"/>
      <w:color w:val="0079bf"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ListParagraph">
    <w:name w:val="List Paragraph"/>
    <w:basedOn w:val="Normal"/>
    <w:uiPriority w:val="34"/>
    <w:qFormat w:val="1"/>
    <w:rsid w:val="008F63DB"/>
    <w:pPr>
      <w:ind w:left="720"/>
      <w:contextualSpacing w:val="1"/>
    </w:pPr>
  </w:style>
  <w:style w:type="paragraph" w:styleId="NoSpacing">
    <w:name w:val="No Spacing"/>
    <w:uiPriority w:val="1"/>
    <w:qFormat w:val="1"/>
    <w:rsid w:val="00BD36DD"/>
    <w:rPr>
      <w:sz w:val="24"/>
      <w:szCs w:val="24"/>
    </w:rPr>
  </w:style>
  <w:style w:type="character" w:styleId="Heading1Char" w:customStyle="1">
    <w:name w:val="Heading 1 Char"/>
    <w:basedOn w:val="DefaultParagraphFont"/>
    <w:link w:val="Heading1"/>
    <w:uiPriority w:val="9"/>
    <w:rsid w:val="00B925FD"/>
    <w:rPr>
      <w:rFonts w:asciiTheme="majorHAnsi" w:cstheme="majorBidi" w:eastAsiaTheme="majorEastAsia" w:hAnsiTheme="majorHAnsi"/>
      <w:color w:val="0079bf" w:themeColor="accent1" w:themeShade="0000BF"/>
      <w:sz w:val="32"/>
      <w:szCs w:val="32"/>
    </w:rPr>
  </w:style>
  <w:style w:type="paragraph" w:styleId="TOCHeading">
    <w:name w:val="TOC Heading"/>
    <w:basedOn w:val="Heading1"/>
    <w:next w:val="Normal"/>
    <w:uiPriority w:val="39"/>
    <w:semiHidden w:val="1"/>
    <w:unhideWhenUsed w:val="1"/>
    <w:qFormat w:val="1"/>
    <w:rsid w:val="00B925FD"/>
    <w:pPr>
      <w:outlineLvl w:val="9"/>
    </w:p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nMg520feXzmq20XJ/DcQKo/fYg==">CgMxLjAyCGguZ2pkZ3hzOAByITFwV2R6c1NfM3FWa0c4SXEydU1ZVlMwSldaZDJZaThodg==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2022-05-30T13:32:00Z</dcterms:created>
  <dc:creator>UNFPA</dc:creator>
</cp:coreProperties>
</file>